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1EDE" w14:textId="77777777" w:rsidR="00AF4F53" w:rsidRPr="0049761B" w:rsidRDefault="00AF4F53" w:rsidP="00672FEC"/>
    <w:p w14:paraId="2D3514F9" w14:textId="77777777" w:rsidR="00486F19" w:rsidRPr="0049761B" w:rsidRDefault="00486F19" w:rsidP="00672FEC"/>
    <w:p w14:paraId="687264A1" w14:textId="77777777" w:rsidR="00AF4F53" w:rsidRPr="0049761B" w:rsidRDefault="00AF4F53" w:rsidP="00672FEC"/>
    <w:p w14:paraId="078B5BF8" w14:textId="77777777" w:rsidR="0049761B" w:rsidRPr="0049761B" w:rsidRDefault="00DE080F" w:rsidP="00672FEC">
      <w:pPr>
        <w:pStyle w:val="Title"/>
      </w:pPr>
      <w:r>
        <w:rPr>
          <w:lang w:val="fr-FR"/>
        </w:rPr>
        <w:t>Description des Services</w:t>
      </w:r>
    </w:p>
    <w:p w14:paraId="0853E6A7" w14:textId="77777777" w:rsidR="00865922" w:rsidRPr="0049761B" w:rsidRDefault="00865922" w:rsidP="00672FEC"/>
    <w:p w14:paraId="15C458EE" w14:textId="77777777" w:rsidR="00530257" w:rsidRPr="0049761B" w:rsidRDefault="00530257" w:rsidP="00672FEC"/>
    <w:p w14:paraId="28946825" w14:textId="77777777" w:rsidR="00865922" w:rsidRPr="0049761B" w:rsidRDefault="00865922" w:rsidP="00672FEC">
      <w:pPr>
        <w:pStyle w:val="Title"/>
      </w:pPr>
    </w:p>
    <w:p w14:paraId="606C2A6E" w14:textId="77777777" w:rsidR="00865922" w:rsidRPr="0049761B" w:rsidRDefault="001E203C" w:rsidP="00672FEC">
      <w:pPr>
        <w:pStyle w:val="Title"/>
        <w:rPr>
          <w:b/>
        </w:rPr>
      </w:pPr>
      <w:r>
        <w:rPr>
          <w:lang w:val="fr-FR"/>
        </w:rPr>
        <w:t>Easymail</w:t>
      </w:r>
    </w:p>
    <w:p w14:paraId="30A4B9BE" w14:textId="77777777" w:rsidR="0057295F" w:rsidRPr="0049761B" w:rsidRDefault="00465133" w:rsidP="00672FEC">
      <w:pPr>
        <w:rPr>
          <w:rFonts w:cs="Tahoma"/>
          <w:szCs w:val="48"/>
        </w:rPr>
      </w:pPr>
      <w:r>
        <w:rPr>
          <w:noProof/>
          <w:lang w:val="fr-FR"/>
        </w:rPr>
        <w:drawing>
          <wp:anchor distT="0" distB="0" distL="114300" distR="114300" simplePos="0" relativeHeight="503279936" behindDoc="1" locked="0" layoutInCell="1" allowOverlap="1" wp14:anchorId="2342FA4C">
            <wp:simplePos x="0" y="0"/>
            <wp:positionH relativeFrom="page">
              <wp:posOffset>-14605</wp:posOffset>
            </wp:positionH>
            <wp:positionV relativeFrom="page">
              <wp:posOffset>-22225</wp:posOffset>
            </wp:positionV>
            <wp:extent cx="7560310" cy="10692130"/>
            <wp:effectExtent l="0" t="0" r="254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3A768A8F" w14:textId="77777777" w:rsidR="0057295F" w:rsidRPr="0049761B" w:rsidRDefault="0057295F" w:rsidP="00672FEC"/>
    <w:p w14:paraId="70AE764C" w14:textId="77777777" w:rsidR="0057295F" w:rsidRPr="0049761B" w:rsidRDefault="0057295F" w:rsidP="00672FEC"/>
    <w:p w14:paraId="6FFD4674" w14:textId="77777777" w:rsidR="0057295F" w:rsidRPr="0049761B" w:rsidRDefault="0057295F" w:rsidP="00672FEC"/>
    <w:p w14:paraId="6284D24A" w14:textId="77777777" w:rsidR="00054289" w:rsidRPr="0049761B" w:rsidRDefault="00054289" w:rsidP="00672FEC">
      <w:pPr>
        <w:pStyle w:val="BodyText"/>
        <w:sectPr w:rsidR="00054289" w:rsidRPr="0049761B" w:rsidSect="002438F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588" w:right="1134" w:bottom="1021" w:left="1134" w:header="283" w:footer="221" w:gutter="0"/>
          <w:cols w:space="838"/>
          <w:docGrid w:linePitch="272"/>
        </w:sectPr>
      </w:pPr>
    </w:p>
    <w:p w14:paraId="1C844E5B" w14:textId="77777777" w:rsidR="0057295F" w:rsidRPr="0049761B" w:rsidRDefault="0057295F" w:rsidP="00672FEC">
      <w:pPr>
        <w:pStyle w:val="BodyText"/>
      </w:pPr>
    </w:p>
    <w:sdt>
      <w:sdtPr>
        <w:rPr>
          <w:rFonts w:cstheme="minorBidi"/>
          <w:color w:val="737373"/>
          <w:sz w:val="20"/>
          <w:lang w:val="en-GB" w:eastAsia="en-US" w:bidi="ar-SA"/>
        </w:rPr>
        <w:id w:val="379054353"/>
        <w:docPartObj>
          <w:docPartGallery w:val="Table of Contents"/>
          <w:docPartUnique/>
        </w:docPartObj>
      </w:sdtPr>
      <w:sdtEndPr>
        <w:rPr>
          <w:noProof/>
          <w:color w:val="3E3D40"/>
        </w:rPr>
      </w:sdtEndPr>
      <w:sdtContent>
        <w:p w14:paraId="1ABEBB00" w14:textId="77777777" w:rsidR="002B3646" w:rsidRPr="0049761B" w:rsidRDefault="00877D4D" w:rsidP="00F61A5D">
          <w:pPr>
            <w:pStyle w:val="Titretableau"/>
          </w:pPr>
          <w:r>
            <w:rPr>
              <w:bCs/>
              <w:lang w:val="fr-FR"/>
            </w:rPr>
            <w:t>TABLE DES MATIÈRES</w:t>
          </w:r>
        </w:p>
        <w:p w14:paraId="22189C7C" w14:textId="77777777" w:rsidR="002B3646" w:rsidRPr="0049761B" w:rsidRDefault="002B3646" w:rsidP="00F61A5D">
          <w:pPr>
            <w:pStyle w:val="Titretableau"/>
            <w:rPr>
              <w:rStyle w:val="TitleChar"/>
            </w:rPr>
          </w:pPr>
        </w:p>
        <w:p w14:paraId="2537FE57" w14:textId="77777777" w:rsidR="00722573" w:rsidRPr="0049761B" w:rsidRDefault="00855023">
          <w:pPr>
            <w:pStyle w:val="TOC1"/>
            <w:rPr>
              <w:rFonts w:asciiTheme="minorHAnsi" w:eastAsiaTheme="minorEastAsia" w:hAnsiTheme="minorHAnsi"/>
              <w:b w:val="0"/>
              <w:noProof/>
              <w:color w:val="auto"/>
              <w:kern w:val="2"/>
              <w:sz w:val="22"/>
              <w:szCs w:val="22"/>
            </w:rPr>
          </w:pPr>
          <w:r>
            <w:rPr>
              <w:b w:val="0"/>
              <w:lang w:val="fr-FR"/>
            </w:rPr>
            <w:fldChar w:fldCharType="begin"/>
          </w:r>
          <w:r>
            <w:rPr>
              <w:b w:val="0"/>
              <w:lang w:val="fr-FR"/>
            </w:rPr>
            <w:instrText xml:space="preserve"> TOC \o "1-1" \h \z \u \t "Heading 2;2" </w:instrText>
          </w:r>
          <w:r>
            <w:rPr>
              <w:b w:val="0"/>
              <w:lang w:val="fr-FR"/>
            </w:rPr>
            <w:fldChar w:fldCharType="separate"/>
          </w:r>
          <w:hyperlink w:anchor="_Toc164063894" w:history="1">
            <w:r>
              <w:rPr>
                <w:rStyle w:val="Hyperlink"/>
                <w:rFonts w:cs="Tahoma"/>
                <w:bCs/>
                <w:noProof/>
                <w:u w:val="none"/>
                <w:lang w:val="fr-FR"/>
              </w:rPr>
              <w:t>1</w:t>
            </w:r>
            <w:r>
              <w:rPr>
                <w:b w:val="0"/>
                <w:lang w:val="fr-FR"/>
              </w:rPr>
              <w:tab/>
            </w:r>
            <w:r>
              <w:rPr>
                <w:rStyle w:val="Hyperlink"/>
                <w:bCs/>
                <w:noProof/>
                <w:u w:val="none"/>
                <w:lang w:val="fr-FR"/>
              </w:rPr>
              <w:t>Description GÉNÉRALE</w:t>
            </w:r>
            <w:r>
              <w:rPr>
                <w:b w:val="0"/>
                <w:noProof/>
                <w:webHidden/>
                <w:lang w:val="fr-FR"/>
              </w:rPr>
              <w:tab/>
            </w:r>
            <w:r>
              <w:rPr>
                <w:b w:val="0"/>
                <w:noProof/>
                <w:webHidden/>
                <w:lang w:val="fr-FR"/>
              </w:rPr>
              <w:fldChar w:fldCharType="begin"/>
            </w:r>
            <w:r>
              <w:rPr>
                <w:b w:val="0"/>
                <w:noProof/>
                <w:webHidden/>
                <w:lang w:val="fr-FR"/>
              </w:rPr>
              <w:instrText xml:space="preserve"> PAGEREF _Toc164063894 \h </w:instrText>
            </w:r>
            <w:r>
              <w:rPr>
                <w:b w:val="0"/>
                <w:noProof/>
                <w:webHidden/>
                <w:lang w:val="fr-FR"/>
              </w:rPr>
            </w:r>
            <w:r>
              <w:rPr>
                <w:b w:val="0"/>
                <w:noProof/>
                <w:webHidden/>
                <w:lang w:val="fr-FR"/>
              </w:rPr>
              <w:fldChar w:fldCharType="separate"/>
            </w:r>
            <w:r>
              <w:rPr>
                <w:bCs/>
                <w:noProof/>
                <w:webHidden/>
                <w:lang w:val="fr-FR"/>
              </w:rPr>
              <w:t>3</w:t>
            </w:r>
            <w:r>
              <w:rPr>
                <w:b w:val="0"/>
                <w:noProof/>
                <w:webHidden/>
                <w:lang w:val="fr-FR"/>
              </w:rPr>
              <w:fldChar w:fldCharType="end"/>
            </w:r>
          </w:hyperlink>
        </w:p>
        <w:p w14:paraId="70251968"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895" w:history="1">
            <w:r w:rsidR="0049761B">
              <w:rPr>
                <w:rStyle w:val="Hyperlink"/>
                <w:bCs/>
                <w:noProof/>
                <w:u w:val="none"/>
                <w:lang w:val="fr-FR"/>
              </w:rPr>
              <w:t>2</w:t>
            </w:r>
            <w:r w:rsidR="0049761B">
              <w:rPr>
                <w:b w:val="0"/>
                <w:lang w:val="fr-FR"/>
              </w:rPr>
              <w:tab/>
            </w:r>
            <w:r w:rsidR="0049761B">
              <w:rPr>
                <w:rStyle w:val="Hyperlink"/>
                <w:bCs/>
                <w:noProof/>
                <w:u w:val="none"/>
                <w:lang w:val="fr-FR"/>
              </w:rPr>
              <w:t>Description FONCTIONNELLE</w:t>
            </w:r>
            <w:r w:rsidR="0049761B">
              <w:rPr>
                <w:b w:val="0"/>
                <w:noProof/>
                <w:webHidden/>
                <w:lang w:val="fr-FR"/>
              </w:rPr>
              <w:tab/>
            </w:r>
            <w:r w:rsidR="0049761B">
              <w:rPr>
                <w:b w:val="0"/>
                <w:noProof/>
                <w:webHidden/>
                <w:lang w:val="fr-FR"/>
              </w:rPr>
              <w:fldChar w:fldCharType="begin"/>
            </w:r>
            <w:r w:rsidR="0049761B">
              <w:rPr>
                <w:b w:val="0"/>
                <w:noProof/>
                <w:webHidden/>
                <w:lang w:val="fr-FR"/>
              </w:rPr>
              <w:instrText xml:space="preserve"> PAGEREF _Toc164063895 \h </w:instrText>
            </w:r>
            <w:r w:rsidR="0049761B">
              <w:rPr>
                <w:b w:val="0"/>
                <w:noProof/>
                <w:webHidden/>
                <w:lang w:val="fr-FR"/>
              </w:rPr>
            </w:r>
            <w:r w:rsidR="0049761B">
              <w:rPr>
                <w:b w:val="0"/>
                <w:noProof/>
                <w:webHidden/>
                <w:lang w:val="fr-FR"/>
              </w:rPr>
              <w:fldChar w:fldCharType="separate"/>
            </w:r>
            <w:r w:rsidR="0049761B">
              <w:rPr>
                <w:bCs/>
                <w:noProof/>
                <w:webHidden/>
                <w:lang w:val="fr-FR"/>
              </w:rPr>
              <w:t>3</w:t>
            </w:r>
            <w:r w:rsidR="0049761B">
              <w:rPr>
                <w:b w:val="0"/>
                <w:noProof/>
                <w:webHidden/>
                <w:lang w:val="fr-FR"/>
              </w:rPr>
              <w:fldChar w:fldCharType="end"/>
            </w:r>
          </w:hyperlink>
        </w:p>
        <w:p w14:paraId="5A4CA7C3"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6" w:history="1">
            <w:r w:rsidR="0049761B">
              <w:rPr>
                <w:rStyle w:val="Hyperlink"/>
                <w:noProof/>
                <w:u w:val="none"/>
                <w:lang w:val="fr-FR"/>
              </w:rPr>
              <w:t>2.1</w:t>
            </w:r>
            <w:r w:rsidR="0049761B">
              <w:rPr>
                <w:lang w:val="fr-FR"/>
              </w:rPr>
              <w:tab/>
            </w:r>
            <w:r w:rsidR="0049761B">
              <w:rPr>
                <w:rStyle w:val="Hyperlink"/>
                <w:noProof/>
                <w:u w:val="none"/>
                <w:lang w:val="fr-FR"/>
              </w:rPr>
              <w:t>Description détaillée du produit</w:t>
            </w:r>
            <w:r w:rsidR="0049761B">
              <w:rPr>
                <w:noProof/>
                <w:webHidden/>
                <w:lang w:val="fr-FR"/>
              </w:rPr>
              <w:tab/>
            </w:r>
            <w:r w:rsidR="0049761B">
              <w:rPr>
                <w:noProof/>
                <w:webHidden/>
                <w:lang w:val="fr-FR"/>
              </w:rPr>
              <w:fldChar w:fldCharType="begin"/>
            </w:r>
            <w:r w:rsidR="0049761B">
              <w:rPr>
                <w:noProof/>
                <w:webHidden/>
                <w:lang w:val="fr-FR"/>
              </w:rPr>
              <w:instrText xml:space="preserve"> PAGEREF _Toc164063896 \h </w:instrText>
            </w:r>
            <w:r w:rsidR="0049761B">
              <w:rPr>
                <w:noProof/>
                <w:webHidden/>
                <w:lang w:val="fr-FR"/>
              </w:rPr>
            </w:r>
            <w:r w:rsidR="0049761B">
              <w:rPr>
                <w:noProof/>
                <w:webHidden/>
                <w:lang w:val="fr-FR"/>
              </w:rPr>
              <w:fldChar w:fldCharType="separate"/>
            </w:r>
            <w:r w:rsidR="0049761B">
              <w:rPr>
                <w:noProof/>
                <w:webHidden/>
                <w:lang w:val="fr-FR"/>
              </w:rPr>
              <w:t>4</w:t>
            </w:r>
            <w:r w:rsidR="0049761B">
              <w:rPr>
                <w:noProof/>
                <w:webHidden/>
                <w:lang w:val="fr-FR"/>
              </w:rPr>
              <w:fldChar w:fldCharType="end"/>
            </w:r>
          </w:hyperlink>
        </w:p>
        <w:p w14:paraId="49CCBCC8"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897" w:history="1">
            <w:r w:rsidR="0049761B">
              <w:rPr>
                <w:rStyle w:val="Hyperlink"/>
                <w:bCs/>
                <w:noProof/>
                <w:u w:val="none"/>
                <w:lang w:val="fr-FR"/>
              </w:rPr>
              <w:t>3</w:t>
            </w:r>
            <w:r w:rsidR="0049761B">
              <w:rPr>
                <w:b w:val="0"/>
                <w:lang w:val="fr-FR"/>
              </w:rPr>
              <w:tab/>
            </w:r>
            <w:r w:rsidR="0049761B">
              <w:rPr>
                <w:rStyle w:val="Hyperlink"/>
                <w:bCs/>
                <w:noProof/>
                <w:u w:val="none"/>
                <w:lang w:val="fr-FR"/>
              </w:rPr>
              <w:t>FOURNITURE DE SERVICES</w:t>
            </w:r>
            <w:r w:rsidR="0049761B">
              <w:rPr>
                <w:b w:val="0"/>
                <w:noProof/>
                <w:webHidden/>
                <w:lang w:val="fr-FR"/>
              </w:rPr>
              <w:tab/>
            </w:r>
            <w:r w:rsidR="0049761B">
              <w:rPr>
                <w:b w:val="0"/>
                <w:noProof/>
                <w:webHidden/>
                <w:lang w:val="fr-FR"/>
              </w:rPr>
              <w:fldChar w:fldCharType="begin"/>
            </w:r>
            <w:r w:rsidR="0049761B">
              <w:rPr>
                <w:b w:val="0"/>
                <w:noProof/>
                <w:webHidden/>
                <w:lang w:val="fr-FR"/>
              </w:rPr>
              <w:instrText xml:space="preserve"> PAGEREF _Toc164063897 \h </w:instrText>
            </w:r>
            <w:r w:rsidR="0049761B">
              <w:rPr>
                <w:b w:val="0"/>
                <w:noProof/>
                <w:webHidden/>
                <w:lang w:val="fr-FR"/>
              </w:rPr>
            </w:r>
            <w:r w:rsidR="0049761B">
              <w:rPr>
                <w:b w:val="0"/>
                <w:noProof/>
                <w:webHidden/>
                <w:lang w:val="fr-FR"/>
              </w:rPr>
              <w:fldChar w:fldCharType="separate"/>
            </w:r>
            <w:r w:rsidR="0049761B">
              <w:rPr>
                <w:bCs/>
                <w:noProof/>
                <w:webHidden/>
                <w:lang w:val="fr-FR"/>
              </w:rPr>
              <w:t>4</w:t>
            </w:r>
            <w:r w:rsidR="0049761B">
              <w:rPr>
                <w:b w:val="0"/>
                <w:noProof/>
                <w:webHidden/>
                <w:lang w:val="fr-FR"/>
              </w:rPr>
              <w:fldChar w:fldCharType="end"/>
            </w:r>
          </w:hyperlink>
        </w:p>
        <w:p w14:paraId="4E730F6F"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8" w:history="1">
            <w:r w:rsidR="0049761B">
              <w:rPr>
                <w:rStyle w:val="Hyperlink"/>
                <w:noProof/>
                <w:u w:val="none"/>
                <w:lang w:val="fr-FR"/>
              </w:rPr>
              <w:t>3.1</w:t>
            </w:r>
            <w:r w:rsidR="0049761B">
              <w:rPr>
                <w:lang w:val="fr-FR"/>
              </w:rPr>
              <w:tab/>
            </w:r>
            <w:r w:rsidR="0049761B">
              <w:rPr>
                <w:rStyle w:val="Hyperlink"/>
                <w:noProof/>
                <w:u w:val="none"/>
                <w:lang w:val="fr-FR"/>
              </w:rPr>
              <w:t>Méthodologie de mise en œuvre (Installation initiale du service)</w:t>
            </w:r>
            <w:r w:rsidR="0049761B">
              <w:rPr>
                <w:noProof/>
                <w:webHidden/>
                <w:lang w:val="fr-FR"/>
              </w:rPr>
              <w:tab/>
            </w:r>
            <w:r w:rsidR="0049761B">
              <w:rPr>
                <w:noProof/>
                <w:webHidden/>
                <w:lang w:val="fr-FR"/>
              </w:rPr>
              <w:fldChar w:fldCharType="begin"/>
            </w:r>
            <w:r w:rsidR="0049761B">
              <w:rPr>
                <w:noProof/>
                <w:webHidden/>
                <w:lang w:val="fr-FR"/>
              </w:rPr>
              <w:instrText xml:space="preserve"> PAGEREF _Toc164063898 \h </w:instrText>
            </w:r>
            <w:r w:rsidR="0049761B">
              <w:rPr>
                <w:noProof/>
                <w:webHidden/>
                <w:lang w:val="fr-FR"/>
              </w:rPr>
            </w:r>
            <w:r w:rsidR="0049761B">
              <w:rPr>
                <w:noProof/>
                <w:webHidden/>
                <w:lang w:val="fr-FR"/>
              </w:rPr>
              <w:fldChar w:fldCharType="separate"/>
            </w:r>
            <w:r w:rsidR="0049761B">
              <w:rPr>
                <w:noProof/>
                <w:webHidden/>
                <w:lang w:val="fr-FR"/>
              </w:rPr>
              <w:t>4</w:t>
            </w:r>
            <w:r w:rsidR="0049761B">
              <w:rPr>
                <w:noProof/>
                <w:webHidden/>
                <w:lang w:val="fr-FR"/>
              </w:rPr>
              <w:fldChar w:fldCharType="end"/>
            </w:r>
          </w:hyperlink>
        </w:p>
        <w:p w14:paraId="2F23F9CE"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9" w:history="1">
            <w:r w:rsidR="0049761B">
              <w:rPr>
                <w:rStyle w:val="Hyperlink"/>
                <w:noProof/>
                <w:u w:val="none"/>
                <w:lang w:val="fr-FR"/>
              </w:rPr>
              <w:t>3.2</w:t>
            </w:r>
            <w:r w:rsidR="0049761B">
              <w:rPr>
                <w:lang w:val="fr-FR"/>
              </w:rPr>
              <w:tab/>
            </w:r>
            <w:r w:rsidR="0049761B">
              <w:rPr>
                <w:rStyle w:val="Hyperlink"/>
                <w:noProof/>
                <w:u w:val="none"/>
                <w:lang w:val="fr-FR"/>
              </w:rPr>
              <w:t>Résiliation du service</w:t>
            </w:r>
            <w:r w:rsidR="0049761B">
              <w:rPr>
                <w:noProof/>
                <w:webHidden/>
                <w:lang w:val="fr-FR"/>
              </w:rPr>
              <w:tab/>
            </w:r>
            <w:r w:rsidR="0049761B">
              <w:rPr>
                <w:noProof/>
                <w:webHidden/>
                <w:lang w:val="fr-FR"/>
              </w:rPr>
              <w:fldChar w:fldCharType="begin"/>
            </w:r>
            <w:r w:rsidR="0049761B">
              <w:rPr>
                <w:noProof/>
                <w:webHidden/>
                <w:lang w:val="fr-FR"/>
              </w:rPr>
              <w:instrText xml:space="preserve"> PAGEREF _Toc164063899 \h </w:instrText>
            </w:r>
            <w:r w:rsidR="0049761B">
              <w:rPr>
                <w:noProof/>
                <w:webHidden/>
                <w:lang w:val="fr-FR"/>
              </w:rPr>
            </w:r>
            <w:r w:rsidR="0049761B">
              <w:rPr>
                <w:noProof/>
                <w:webHidden/>
                <w:lang w:val="fr-FR"/>
              </w:rPr>
              <w:fldChar w:fldCharType="separate"/>
            </w:r>
            <w:r w:rsidR="0049761B">
              <w:rPr>
                <w:noProof/>
                <w:webHidden/>
                <w:lang w:val="fr-FR"/>
              </w:rPr>
              <w:t>4</w:t>
            </w:r>
            <w:r w:rsidR="0049761B">
              <w:rPr>
                <w:noProof/>
                <w:webHidden/>
                <w:lang w:val="fr-FR"/>
              </w:rPr>
              <w:fldChar w:fldCharType="end"/>
            </w:r>
          </w:hyperlink>
        </w:p>
        <w:p w14:paraId="12331D92"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900" w:history="1">
            <w:r w:rsidR="0049761B">
              <w:rPr>
                <w:rStyle w:val="Hyperlink"/>
                <w:bCs/>
                <w:noProof/>
                <w:u w:val="none"/>
                <w:lang w:val="fr-FR"/>
              </w:rPr>
              <w:t>4</w:t>
            </w:r>
            <w:r w:rsidR="0049761B">
              <w:rPr>
                <w:b w:val="0"/>
                <w:lang w:val="fr-FR"/>
              </w:rPr>
              <w:tab/>
            </w:r>
            <w:r w:rsidR="0049761B">
              <w:rPr>
                <w:rStyle w:val="Hyperlink"/>
                <w:bCs/>
                <w:noProof/>
                <w:u w:val="none"/>
                <w:lang w:val="fr-FR"/>
              </w:rPr>
              <w:t>ACCORD DE NIVEAU DE SERVICE</w:t>
            </w:r>
            <w:r w:rsidR="0049761B">
              <w:rPr>
                <w:b w:val="0"/>
                <w:noProof/>
                <w:webHidden/>
                <w:lang w:val="fr-FR"/>
              </w:rPr>
              <w:tab/>
            </w:r>
            <w:r w:rsidR="0049761B">
              <w:rPr>
                <w:b w:val="0"/>
                <w:noProof/>
                <w:webHidden/>
                <w:lang w:val="fr-FR"/>
              </w:rPr>
              <w:fldChar w:fldCharType="begin"/>
            </w:r>
            <w:r w:rsidR="0049761B">
              <w:rPr>
                <w:b w:val="0"/>
                <w:noProof/>
                <w:webHidden/>
                <w:lang w:val="fr-FR"/>
              </w:rPr>
              <w:instrText xml:space="preserve"> PAGEREF _Toc164063900 \h </w:instrText>
            </w:r>
            <w:r w:rsidR="0049761B">
              <w:rPr>
                <w:b w:val="0"/>
                <w:noProof/>
                <w:webHidden/>
                <w:lang w:val="fr-FR"/>
              </w:rPr>
            </w:r>
            <w:r w:rsidR="0049761B">
              <w:rPr>
                <w:b w:val="0"/>
                <w:noProof/>
                <w:webHidden/>
                <w:lang w:val="fr-FR"/>
              </w:rPr>
              <w:fldChar w:fldCharType="separate"/>
            </w:r>
            <w:r w:rsidR="0049761B">
              <w:rPr>
                <w:bCs/>
                <w:noProof/>
                <w:webHidden/>
                <w:lang w:val="fr-FR"/>
              </w:rPr>
              <w:t>5</w:t>
            </w:r>
            <w:r w:rsidR="0049761B">
              <w:rPr>
                <w:b w:val="0"/>
                <w:noProof/>
                <w:webHidden/>
                <w:lang w:val="fr-FR"/>
              </w:rPr>
              <w:fldChar w:fldCharType="end"/>
            </w:r>
          </w:hyperlink>
        </w:p>
        <w:p w14:paraId="4E021353"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1" w:history="1">
            <w:r w:rsidR="0049761B">
              <w:rPr>
                <w:rStyle w:val="Hyperlink"/>
                <w:noProof/>
                <w:u w:val="none"/>
                <w:lang w:val="fr-FR"/>
              </w:rPr>
              <w:t>4.1</w:t>
            </w:r>
            <w:r w:rsidR="0049761B">
              <w:rPr>
                <w:lang w:val="fr-FR"/>
              </w:rPr>
              <w:tab/>
            </w:r>
            <w:r w:rsidR="0049761B">
              <w:rPr>
                <w:rStyle w:val="Hyperlink"/>
                <w:noProof/>
                <w:u w:val="none"/>
                <w:lang w:val="fr-FR"/>
              </w:rPr>
              <w:t>Objet</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_Toc164063901 \h </w:instrText>
            </w:r>
            <w:r w:rsidR="0049761B">
              <w:rPr>
                <w:noProof/>
                <w:webHidden/>
                <w:lang w:val="fr-FR"/>
              </w:rPr>
            </w:r>
            <w:r w:rsidR="0049761B">
              <w:rPr>
                <w:noProof/>
                <w:webHidden/>
                <w:lang w:val="fr-FR"/>
              </w:rPr>
              <w:fldChar w:fldCharType="separate"/>
            </w:r>
            <w:r w:rsidR="0049761B">
              <w:rPr>
                <w:noProof/>
                <w:webHidden/>
                <w:lang w:val="fr-FR"/>
              </w:rPr>
              <w:t>5</w:t>
            </w:r>
            <w:r w:rsidR="0049761B">
              <w:rPr>
                <w:noProof/>
                <w:webHidden/>
                <w:lang w:val="fr-FR"/>
              </w:rPr>
              <w:fldChar w:fldCharType="end"/>
            </w:r>
          </w:hyperlink>
        </w:p>
        <w:p w14:paraId="40AC3437"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2" w:history="1">
            <w:r w:rsidR="0049761B">
              <w:rPr>
                <w:rStyle w:val="Hyperlink"/>
                <w:noProof/>
                <w:u w:val="none"/>
                <w:lang w:val="fr-FR"/>
              </w:rPr>
              <w:t>4.3</w:t>
            </w:r>
            <w:r w:rsidR="0049761B">
              <w:rPr>
                <w:lang w:val="fr-FR"/>
              </w:rPr>
              <w:tab/>
            </w:r>
            <w:r w:rsidR="0049761B">
              <w:rPr>
                <w:rStyle w:val="Hyperlink"/>
                <w:noProof/>
                <w:u w:val="none"/>
                <w:lang w:val="fr-FR"/>
              </w:rPr>
              <w:t>Méthodologies</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_Toc164063902 \h </w:instrText>
            </w:r>
            <w:r w:rsidR="0049761B">
              <w:rPr>
                <w:noProof/>
                <w:webHidden/>
                <w:lang w:val="fr-FR"/>
              </w:rPr>
            </w:r>
            <w:r w:rsidR="0049761B">
              <w:rPr>
                <w:noProof/>
                <w:webHidden/>
                <w:lang w:val="fr-FR"/>
              </w:rPr>
              <w:fldChar w:fldCharType="separate"/>
            </w:r>
            <w:r w:rsidR="0049761B">
              <w:rPr>
                <w:noProof/>
                <w:webHidden/>
                <w:lang w:val="fr-FR"/>
              </w:rPr>
              <w:t>5</w:t>
            </w:r>
            <w:r w:rsidR="0049761B">
              <w:rPr>
                <w:noProof/>
                <w:webHidden/>
                <w:lang w:val="fr-FR"/>
              </w:rPr>
              <w:fldChar w:fldCharType="end"/>
            </w:r>
          </w:hyperlink>
        </w:p>
        <w:p w14:paraId="295BEC63"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3" w:history="1">
            <w:r w:rsidR="0049761B">
              <w:rPr>
                <w:rStyle w:val="Hyperlink"/>
                <w:noProof/>
                <w:u w:val="none"/>
                <w:lang w:val="fr-FR"/>
              </w:rPr>
              <w:t>4.4</w:t>
            </w:r>
            <w:r w:rsidR="0049761B">
              <w:rPr>
                <w:lang w:val="fr-FR"/>
              </w:rPr>
              <w:tab/>
            </w:r>
            <w:r w:rsidR="0049761B">
              <w:rPr>
                <w:rStyle w:val="Hyperlink"/>
                <w:noProof/>
                <w:u w:val="none"/>
                <w:lang w:val="fr-FR"/>
              </w:rPr>
              <w:t>Informations et conseils</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_Toc164063903 \h </w:instrText>
            </w:r>
            <w:r w:rsidR="0049761B">
              <w:rPr>
                <w:noProof/>
                <w:webHidden/>
                <w:lang w:val="fr-FR"/>
              </w:rPr>
            </w:r>
            <w:r w:rsidR="0049761B">
              <w:rPr>
                <w:noProof/>
                <w:webHidden/>
                <w:lang w:val="fr-FR"/>
              </w:rPr>
              <w:fldChar w:fldCharType="separate"/>
            </w:r>
            <w:r w:rsidR="0049761B">
              <w:rPr>
                <w:noProof/>
                <w:webHidden/>
                <w:lang w:val="fr-FR"/>
              </w:rPr>
              <w:t>5</w:t>
            </w:r>
            <w:r w:rsidR="0049761B">
              <w:rPr>
                <w:noProof/>
                <w:webHidden/>
                <w:lang w:val="fr-FR"/>
              </w:rPr>
              <w:fldChar w:fldCharType="end"/>
            </w:r>
          </w:hyperlink>
        </w:p>
        <w:p w14:paraId="4688539A"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4" w:history="1">
            <w:r w:rsidR="0049761B">
              <w:rPr>
                <w:rStyle w:val="Hyperlink"/>
                <w:noProof/>
                <w:u w:val="none"/>
                <w:lang w:val="fr-FR"/>
              </w:rPr>
              <w:t>4.5</w:t>
            </w:r>
            <w:r w:rsidR="0049761B">
              <w:rPr>
                <w:lang w:val="fr-FR"/>
              </w:rPr>
              <w:tab/>
            </w:r>
            <w:r w:rsidR="0049761B">
              <w:rPr>
                <w:rStyle w:val="Hyperlink"/>
                <w:noProof/>
                <w:u w:val="none"/>
                <w:lang w:val="fr-FR"/>
              </w:rPr>
              <w:t>Exclusions</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_Toc164063904 \h </w:instrText>
            </w:r>
            <w:r w:rsidR="0049761B">
              <w:rPr>
                <w:noProof/>
                <w:webHidden/>
                <w:lang w:val="fr-FR"/>
              </w:rPr>
            </w:r>
            <w:r w:rsidR="0049761B">
              <w:rPr>
                <w:noProof/>
                <w:webHidden/>
                <w:lang w:val="fr-FR"/>
              </w:rPr>
              <w:fldChar w:fldCharType="separate"/>
            </w:r>
            <w:r w:rsidR="0049761B">
              <w:rPr>
                <w:noProof/>
                <w:webHidden/>
                <w:lang w:val="fr-FR"/>
              </w:rPr>
              <w:t>5</w:t>
            </w:r>
            <w:r w:rsidR="0049761B">
              <w:rPr>
                <w:noProof/>
                <w:webHidden/>
                <w:lang w:val="fr-FR"/>
              </w:rPr>
              <w:fldChar w:fldCharType="end"/>
            </w:r>
          </w:hyperlink>
        </w:p>
        <w:p w14:paraId="76FC1947"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5" w:history="1">
            <w:r w:rsidR="0049761B">
              <w:rPr>
                <w:rStyle w:val="Hyperlink"/>
                <w:noProof/>
                <w:u w:val="none"/>
                <w:lang w:val="fr-FR"/>
              </w:rPr>
              <w:t>4.6</w:t>
            </w:r>
            <w:r w:rsidR="0049761B">
              <w:rPr>
                <w:lang w:val="fr-FR"/>
              </w:rPr>
              <w:tab/>
            </w:r>
            <w:r w:rsidR="0049761B">
              <w:rPr>
                <w:rStyle w:val="Hyperlink"/>
                <w:noProof/>
                <w:u w:val="none"/>
                <w:lang w:val="fr-FR"/>
              </w:rPr>
              <w:t>Responsabilité</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_Toc164063905 \h </w:instrText>
            </w:r>
            <w:r w:rsidR="0049761B">
              <w:rPr>
                <w:noProof/>
                <w:webHidden/>
                <w:lang w:val="fr-FR"/>
              </w:rPr>
            </w:r>
            <w:r w:rsidR="0049761B">
              <w:rPr>
                <w:noProof/>
                <w:webHidden/>
                <w:lang w:val="fr-FR"/>
              </w:rPr>
              <w:fldChar w:fldCharType="separate"/>
            </w:r>
            <w:r w:rsidR="0049761B">
              <w:rPr>
                <w:noProof/>
                <w:webHidden/>
                <w:lang w:val="fr-FR"/>
              </w:rPr>
              <w:t>6</w:t>
            </w:r>
            <w:r w:rsidR="0049761B">
              <w:rPr>
                <w:noProof/>
                <w:webHidden/>
                <w:lang w:val="fr-FR"/>
              </w:rPr>
              <w:fldChar w:fldCharType="end"/>
            </w:r>
          </w:hyperlink>
        </w:p>
        <w:p w14:paraId="4062ACEF"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6" w:history="1">
            <w:r w:rsidR="0049761B">
              <w:rPr>
                <w:rStyle w:val="Hyperlink"/>
                <w:noProof/>
                <w:u w:val="none"/>
                <w:lang w:val="fr-FR"/>
              </w:rPr>
              <w:t>4.7</w:t>
            </w:r>
            <w:r w:rsidR="0049761B">
              <w:rPr>
                <w:lang w:val="fr-FR"/>
              </w:rPr>
              <w:tab/>
            </w:r>
            <w:r w:rsidR="0049761B">
              <w:rPr>
                <w:rStyle w:val="Hyperlink"/>
                <w:noProof/>
                <w:u w:val="none"/>
                <w:lang w:val="fr-FR"/>
              </w:rPr>
              <w:t>Sécurité sur l'infrastructure</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_Toc164063906 \h </w:instrText>
            </w:r>
            <w:r w:rsidR="0049761B">
              <w:rPr>
                <w:noProof/>
                <w:webHidden/>
                <w:lang w:val="fr-FR"/>
              </w:rPr>
            </w:r>
            <w:r w:rsidR="0049761B">
              <w:rPr>
                <w:noProof/>
                <w:webHidden/>
                <w:lang w:val="fr-FR"/>
              </w:rPr>
              <w:fldChar w:fldCharType="separate"/>
            </w:r>
            <w:r w:rsidR="0049761B">
              <w:rPr>
                <w:noProof/>
                <w:webHidden/>
                <w:lang w:val="fr-FR"/>
              </w:rPr>
              <w:t>7</w:t>
            </w:r>
            <w:r w:rsidR="0049761B">
              <w:rPr>
                <w:noProof/>
                <w:webHidden/>
                <w:lang w:val="fr-FR"/>
              </w:rPr>
              <w:fldChar w:fldCharType="end"/>
            </w:r>
          </w:hyperlink>
        </w:p>
        <w:p w14:paraId="24911548"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7" w:history="1">
            <w:r w:rsidR="0049761B">
              <w:rPr>
                <w:rStyle w:val="Hyperlink"/>
                <w:noProof/>
                <w:u w:val="none"/>
                <w:lang w:val="fr-FR"/>
              </w:rPr>
              <w:t>4.8</w:t>
            </w:r>
            <w:r w:rsidR="0049761B">
              <w:rPr>
                <w:lang w:val="fr-FR"/>
              </w:rPr>
              <w:tab/>
            </w:r>
            <w:r w:rsidR="0049761B">
              <w:rPr>
                <w:rStyle w:val="Hyperlink"/>
                <w:noProof/>
                <w:u w:val="none"/>
                <w:lang w:val="fr-FR"/>
              </w:rPr>
              <w:t>Centre de service client</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_Toc164063907 \h </w:instrText>
            </w:r>
            <w:r w:rsidR="0049761B">
              <w:rPr>
                <w:noProof/>
                <w:webHidden/>
                <w:lang w:val="fr-FR"/>
              </w:rPr>
            </w:r>
            <w:r w:rsidR="0049761B">
              <w:rPr>
                <w:noProof/>
                <w:webHidden/>
                <w:lang w:val="fr-FR"/>
              </w:rPr>
              <w:fldChar w:fldCharType="separate"/>
            </w:r>
            <w:r w:rsidR="0049761B">
              <w:rPr>
                <w:noProof/>
                <w:webHidden/>
                <w:lang w:val="fr-FR"/>
              </w:rPr>
              <w:t>7</w:t>
            </w:r>
            <w:r w:rsidR="0049761B">
              <w:rPr>
                <w:noProof/>
                <w:webHidden/>
                <w:lang w:val="fr-FR"/>
              </w:rPr>
              <w:fldChar w:fldCharType="end"/>
            </w:r>
          </w:hyperlink>
        </w:p>
        <w:p w14:paraId="6CEA376E"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8" w:history="1">
            <w:r w:rsidR="0049761B">
              <w:rPr>
                <w:rStyle w:val="Hyperlink"/>
                <w:noProof/>
                <w:u w:val="none"/>
                <w:lang w:val="fr-FR"/>
              </w:rPr>
              <w:t>4.9</w:t>
            </w:r>
            <w:r w:rsidR="0049761B">
              <w:rPr>
                <w:lang w:val="fr-FR"/>
              </w:rPr>
              <w:tab/>
            </w:r>
            <w:r w:rsidR="0049761B">
              <w:rPr>
                <w:rStyle w:val="Hyperlink"/>
                <w:noProof/>
                <w:u w:val="none"/>
                <w:lang w:val="fr-FR"/>
              </w:rPr>
              <w:t>Niveaux d'incidents</w:t>
            </w:r>
            <w:r w:rsidR="0049761B">
              <w:rPr>
                <w:noProof/>
                <w:webHidden/>
                <w:lang w:val="fr-FR"/>
              </w:rPr>
              <w:tab/>
            </w:r>
            <w:r w:rsidR="0049761B">
              <w:rPr>
                <w:noProof/>
                <w:webHidden/>
                <w:lang w:val="fr-FR"/>
              </w:rPr>
              <w:fldChar w:fldCharType="begin"/>
            </w:r>
            <w:r w:rsidR="0049761B">
              <w:rPr>
                <w:noProof/>
                <w:webHidden/>
                <w:lang w:val="fr-FR"/>
              </w:rPr>
              <w:instrText xml:space="preserve"> PAGEREF _Toc164063908 \h </w:instrText>
            </w:r>
            <w:r w:rsidR="0049761B">
              <w:rPr>
                <w:noProof/>
                <w:webHidden/>
                <w:lang w:val="fr-FR"/>
              </w:rPr>
            </w:r>
            <w:r w:rsidR="0049761B">
              <w:rPr>
                <w:noProof/>
                <w:webHidden/>
                <w:lang w:val="fr-FR"/>
              </w:rPr>
              <w:fldChar w:fldCharType="separate"/>
            </w:r>
            <w:r w:rsidR="0049761B">
              <w:rPr>
                <w:noProof/>
                <w:webHidden/>
                <w:lang w:val="fr-FR"/>
              </w:rPr>
              <w:t>7</w:t>
            </w:r>
            <w:r w:rsidR="0049761B">
              <w:rPr>
                <w:noProof/>
                <w:webHidden/>
                <w:lang w:val="fr-FR"/>
              </w:rPr>
              <w:fldChar w:fldCharType="end"/>
            </w:r>
          </w:hyperlink>
        </w:p>
        <w:p w14:paraId="705D73B7"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909" w:history="1">
            <w:r w:rsidR="0049761B">
              <w:rPr>
                <w:rStyle w:val="Hyperlink"/>
                <w:bCs/>
                <w:noProof/>
                <w:u w:val="none"/>
                <w:lang w:val="fr-FR"/>
              </w:rPr>
              <w:t>ANNEXE – Description spécifique du traitement des données personnelles</w:t>
            </w:r>
            <w:r w:rsidR="0049761B">
              <w:rPr>
                <w:b w:val="0"/>
                <w:noProof/>
                <w:webHidden/>
                <w:lang w:val="fr-FR"/>
              </w:rPr>
              <w:tab/>
            </w:r>
            <w:r w:rsidR="0049761B">
              <w:rPr>
                <w:b w:val="0"/>
                <w:noProof/>
                <w:webHidden/>
                <w:lang w:val="fr-FR"/>
              </w:rPr>
              <w:fldChar w:fldCharType="begin"/>
            </w:r>
            <w:r w:rsidR="0049761B">
              <w:rPr>
                <w:b w:val="0"/>
                <w:noProof/>
                <w:webHidden/>
                <w:lang w:val="fr-FR"/>
              </w:rPr>
              <w:instrText xml:space="preserve"> PAGEREF _Toc164063909 \h </w:instrText>
            </w:r>
            <w:r w:rsidR="0049761B">
              <w:rPr>
                <w:b w:val="0"/>
                <w:noProof/>
                <w:webHidden/>
                <w:lang w:val="fr-FR"/>
              </w:rPr>
            </w:r>
            <w:r w:rsidR="0049761B">
              <w:rPr>
                <w:b w:val="0"/>
                <w:noProof/>
                <w:webHidden/>
                <w:lang w:val="fr-FR"/>
              </w:rPr>
              <w:fldChar w:fldCharType="separate"/>
            </w:r>
            <w:r w:rsidR="0049761B">
              <w:rPr>
                <w:bCs/>
                <w:noProof/>
                <w:webHidden/>
                <w:lang w:val="fr-FR"/>
              </w:rPr>
              <w:t>9</w:t>
            </w:r>
            <w:r w:rsidR="0049761B">
              <w:rPr>
                <w:b w:val="0"/>
                <w:noProof/>
                <w:webHidden/>
                <w:lang w:val="fr-FR"/>
              </w:rPr>
              <w:fldChar w:fldCharType="end"/>
            </w:r>
          </w:hyperlink>
        </w:p>
        <w:p w14:paraId="4C2D1DF4" w14:textId="77777777" w:rsidR="002B3646" w:rsidRPr="0049761B" w:rsidRDefault="00855023" w:rsidP="002438FE">
          <w:pPr>
            <w:pStyle w:val="TOC1"/>
          </w:pPr>
          <w:r>
            <w:rPr>
              <w:bCs/>
              <w:lang w:val="fr-FR"/>
            </w:rPr>
            <w:fldChar w:fldCharType="end"/>
          </w:r>
        </w:p>
      </w:sdtContent>
    </w:sdt>
    <w:p w14:paraId="79E2F7D3" w14:textId="77777777" w:rsidR="00530257" w:rsidRPr="0049761B" w:rsidRDefault="00530257" w:rsidP="00672FEC">
      <w:pPr>
        <w:rPr>
          <w:color w:val="00B2DD"/>
          <w:sz w:val="24"/>
          <w:szCs w:val="24"/>
        </w:rPr>
      </w:pPr>
      <w:r>
        <w:rPr>
          <w:lang w:val="fr-FR"/>
        </w:rPr>
        <w:br w:type="page"/>
      </w:r>
    </w:p>
    <w:p w14:paraId="134A3FDC" w14:textId="77777777" w:rsidR="00343559" w:rsidRPr="0049761B" w:rsidRDefault="00343559" w:rsidP="00343559">
      <w:pPr>
        <w:pStyle w:val="Heading1"/>
        <w:rPr>
          <w:rFonts w:cs="Tahoma"/>
        </w:rPr>
      </w:pPr>
      <w:r>
        <w:rPr>
          <w:lang w:val="fr-FR"/>
        </w:rPr>
        <w:lastRenderedPageBreak/>
        <w:t>Description GÉNÉRALE</w:t>
      </w:r>
    </w:p>
    <w:p w14:paraId="2280851C" w14:textId="77777777" w:rsidR="0083030A" w:rsidRPr="0049761B" w:rsidRDefault="0083030A" w:rsidP="001C7CD0">
      <w:pPr>
        <w:rPr>
          <w:rStyle w:val="s1"/>
        </w:rPr>
      </w:pPr>
      <w:r>
        <w:rPr>
          <w:rStyle w:val="s1"/>
          <w:lang w:val="fr-FR"/>
        </w:rPr>
        <w:t>Lorsqu’un courriel est envoyé à un domaine autre que celui de l’utilisateur, le SMTP (Simple Mail Transport Protocol) s’assure que le message est transféré au domaine du destinataire.</w:t>
      </w:r>
    </w:p>
    <w:p w14:paraId="377F40C4" w14:textId="77777777" w:rsidR="001C7CD0" w:rsidRPr="0049761B" w:rsidRDefault="001C7CD0" w:rsidP="001C7CD0">
      <w:pPr>
        <w:rPr>
          <w:rStyle w:val="s1"/>
        </w:rPr>
      </w:pPr>
      <w:r>
        <w:rPr>
          <w:rStyle w:val="s1"/>
          <w:lang w:val="fr-FR"/>
        </w:rPr>
        <w:t>Malgré la transition vers les services basés sur le cloud, de nombreux clients privilégient encore leur propre infrastructure de serveur de messagerie électronique locale, pour des raisons tout à fait valables telles que la confidentialité, les fonctionnalités spécifiques et la législation.</w:t>
      </w:r>
    </w:p>
    <w:p w14:paraId="27E45E85" w14:textId="77777777" w:rsidR="001C7CD0" w:rsidRPr="0049761B" w:rsidRDefault="001C7CD0" w:rsidP="001C7CD0">
      <w:pPr>
        <w:rPr>
          <w:rStyle w:val="s1"/>
        </w:rPr>
      </w:pPr>
      <w:r>
        <w:rPr>
          <w:rStyle w:val="s1"/>
          <w:lang w:val="fr-FR"/>
        </w:rPr>
        <w:t>Néanmoins, les clients qui gèrent leur propre serveur de messagerie électronique local pourraient être confrontés aux problèmes suivants :</w:t>
      </w:r>
    </w:p>
    <w:p w14:paraId="7F0ADA72" w14:textId="77777777" w:rsidR="001C7CD0" w:rsidRPr="0049761B" w:rsidRDefault="001C7CD0" w:rsidP="001B52D6">
      <w:pPr>
        <w:pStyle w:val="ListParagraph"/>
        <w:widowControl/>
        <w:numPr>
          <w:ilvl w:val="0"/>
          <w:numId w:val="10"/>
        </w:numPr>
        <w:spacing w:line="264" w:lineRule="atLeast"/>
        <w:contextualSpacing/>
        <w:rPr>
          <w:rStyle w:val="s1"/>
        </w:rPr>
      </w:pPr>
      <w:r>
        <w:rPr>
          <w:rStyle w:val="s1"/>
          <w:lang w:val="fr-FR"/>
        </w:rPr>
        <w:t>Salves (</w:t>
      </w:r>
      <w:r>
        <w:rPr>
          <w:rStyle w:val="s1"/>
          <w:i/>
          <w:iCs/>
          <w:lang w:val="fr-FR"/>
        </w:rPr>
        <w:t>bursts</w:t>
      </w:r>
      <w:r>
        <w:rPr>
          <w:rStyle w:val="s1"/>
          <w:lang w:val="fr-FR"/>
        </w:rPr>
        <w:t>) ou attaques DDoS sur le port ouvert 25 (SMTP) qui permet l’accès à Internet.</w:t>
      </w:r>
    </w:p>
    <w:p w14:paraId="5E6B4837" w14:textId="77777777" w:rsidR="001C7CD0" w:rsidRPr="0049761B" w:rsidRDefault="001C7CD0" w:rsidP="001B52D6">
      <w:pPr>
        <w:pStyle w:val="ListParagraph"/>
        <w:widowControl/>
        <w:numPr>
          <w:ilvl w:val="0"/>
          <w:numId w:val="10"/>
        </w:numPr>
        <w:spacing w:line="264" w:lineRule="atLeast"/>
        <w:contextualSpacing/>
        <w:rPr>
          <w:rStyle w:val="s1"/>
        </w:rPr>
      </w:pPr>
      <w:r>
        <w:rPr>
          <w:rStyle w:val="s1"/>
          <w:lang w:val="fr-FR"/>
        </w:rPr>
        <w:t>Investissements substantiels dans des applications ou logiciels de sécurité de la messagerie électronique.</w:t>
      </w:r>
    </w:p>
    <w:p w14:paraId="54BE491C" w14:textId="77777777" w:rsidR="001C7CD0" w:rsidRPr="0049761B" w:rsidRDefault="001C7CD0" w:rsidP="001B52D6">
      <w:pPr>
        <w:pStyle w:val="ListParagraph"/>
        <w:widowControl/>
        <w:numPr>
          <w:ilvl w:val="0"/>
          <w:numId w:val="10"/>
        </w:numPr>
        <w:spacing w:line="264" w:lineRule="atLeast"/>
        <w:contextualSpacing/>
        <w:rPr>
          <w:rStyle w:val="s1"/>
        </w:rPr>
      </w:pPr>
      <w:r>
        <w:rPr>
          <w:rStyle w:val="s1"/>
          <w:lang w:val="fr-FR"/>
        </w:rPr>
        <w:t>Temps nécessaire à la personnalisation et à la maintenance de l’architecture de messagerie électronique.</w:t>
      </w:r>
    </w:p>
    <w:p w14:paraId="23079CED" w14:textId="77777777" w:rsidR="00C0482C" w:rsidRPr="0049761B" w:rsidRDefault="001C7CD0" w:rsidP="001B52D6">
      <w:pPr>
        <w:pStyle w:val="ListParagraph"/>
        <w:widowControl/>
        <w:numPr>
          <w:ilvl w:val="0"/>
          <w:numId w:val="10"/>
        </w:numPr>
        <w:spacing w:line="264" w:lineRule="atLeast"/>
        <w:contextualSpacing/>
        <w:rPr>
          <w:rStyle w:val="s1"/>
        </w:rPr>
      </w:pPr>
      <w:r>
        <w:rPr>
          <w:rStyle w:val="s1"/>
          <w:lang w:val="fr-FR"/>
        </w:rPr>
        <w:t xml:space="preserve">Expertise requise pour résoudre et analyser les problèmes liés au trafic </w:t>
      </w:r>
      <w:proofErr w:type="gramStart"/>
      <w:r>
        <w:rPr>
          <w:rStyle w:val="s1"/>
          <w:lang w:val="fr-FR"/>
        </w:rPr>
        <w:t>d’e-mails</w:t>
      </w:r>
      <w:proofErr w:type="gramEnd"/>
      <w:r>
        <w:rPr>
          <w:rStyle w:val="s1"/>
          <w:lang w:val="fr-FR"/>
        </w:rPr>
        <w:t>.</w:t>
      </w:r>
    </w:p>
    <w:p w14:paraId="761BFD32" w14:textId="77777777" w:rsidR="00343559" w:rsidRPr="0049761B" w:rsidRDefault="001C7CD0" w:rsidP="001B52D6">
      <w:pPr>
        <w:pStyle w:val="ListParagraph"/>
        <w:widowControl/>
        <w:numPr>
          <w:ilvl w:val="0"/>
          <w:numId w:val="10"/>
        </w:numPr>
        <w:spacing w:line="264" w:lineRule="atLeast"/>
        <w:contextualSpacing/>
        <w:rPr>
          <w:rStyle w:val="s1"/>
        </w:rPr>
      </w:pPr>
      <w:r>
        <w:rPr>
          <w:rStyle w:val="s1"/>
          <w:lang w:val="fr-FR"/>
        </w:rPr>
        <w:t>Utilisation fréquente par le serveur de messagerie électronique d'une seule adresse IP pour les e-mails entrants et sortants, ce qui entraîne un risque que l’adresse IP sortante soit reprise sur des listes RBL (</w:t>
      </w:r>
      <w:r>
        <w:rPr>
          <w:rStyle w:val="s1"/>
          <w:i/>
          <w:iCs/>
          <w:lang w:val="fr-FR"/>
        </w:rPr>
        <w:t>Realtime Blackhole List</w:t>
      </w:r>
      <w:r>
        <w:rPr>
          <w:rStyle w:val="s1"/>
          <w:lang w:val="fr-FR"/>
        </w:rPr>
        <w:t>).</w:t>
      </w:r>
    </w:p>
    <w:p w14:paraId="2ACD63D9" w14:textId="77777777" w:rsidR="00D165F6" w:rsidRPr="0049761B" w:rsidRDefault="00D165F6" w:rsidP="007972F6">
      <w:pPr>
        <w:rPr>
          <w:rStyle w:val="s1"/>
          <w:highlight w:val="yellow"/>
        </w:rPr>
      </w:pPr>
      <w:r>
        <w:rPr>
          <w:rStyle w:val="s1"/>
          <w:lang w:val="fr-FR"/>
        </w:rPr>
        <w:t>Easymail contribuera à résoudre ces problèmes, en collaboration avec l’infrastructure de serveur de messagerie électronique locale du client.</w:t>
      </w:r>
    </w:p>
    <w:p w14:paraId="247C38E7" w14:textId="77777777" w:rsidR="001A0ED3" w:rsidRPr="0049761B" w:rsidRDefault="00D526B7" w:rsidP="007972F6">
      <w:pPr>
        <w:rPr>
          <w:rStyle w:val="s1"/>
        </w:rPr>
      </w:pPr>
      <w:r>
        <w:rPr>
          <w:rStyle w:val="s1"/>
          <w:lang w:val="fr-FR"/>
        </w:rPr>
        <w:t>Easymail est un agent de transfert de courrier électronique POST qui permet aux entreprises d'utiliser un domaine et un serveur distincts pour l'envoi de courriers électroniques en masse. Cela permet aux entreprises d'envoyer des messages commerciaux à des milliers de destinataires sans que le domaine de l'entreprise ne figure sur la liste noire des spams.</w:t>
      </w:r>
    </w:p>
    <w:p w14:paraId="4C9FAAD1" w14:textId="77777777" w:rsidR="00D165F6" w:rsidRPr="0049761B" w:rsidRDefault="00D165F6" w:rsidP="007972F6">
      <w:pPr>
        <w:rPr>
          <w:rStyle w:val="s1"/>
        </w:rPr>
      </w:pPr>
      <w:r>
        <w:rPr>
          <w:rStyle w:val="s1"/>
          <w:lang w:val="fr-FR"/>
        </w:rPr>
        <w:t>L'intérêt principal d'Easymail réside dans sa capacité à envoyer des messages au destinataire pour le compte d'un tiers. Aucun autre protocole n'est responsable de la gestion des messages sortants, c'est pourquoi le protocole SMTP est configuré sur des milliers de serveurs de messagerie.</w:t>
      </w:r>
    </w:p>
    <w:p w14:paraId="2468F6E8" w14:textId="77777777" w:rsidR="004E2988" w:rsidRPr="0049761B" w:rsidRDefault="004E2988" w:rsidP="007972F6">
      <w:pPr>
        <w:rPr>
          <w:rStyle w:val="s1"/>
          <w:bCs/>
          <w:caps/>
        </w:rPr>
      </w:pPr>
    </w:p>
    <w:p w14:paraId="69D4FA18" w14:textId="77777777" w:rsidR="0049761B" w:rsidRPr="0049761B" w:rsidRDefault="00343559" w:rsidP="00343559">
      <w:pPr>
        <w:pStyle w:val="Heading1"/>
      </w:pPr>
      <w:r>
        <w:rPr>
          <w:lang w:val="fr-FR"/>
        </w:rPr>
        <w:t>Description FONCTIONNELLE</w:t>
      </w:r>
    </w:p>
    <w:p w14:paraId="2A8B666D" w14:textId="77777777" w:rsidR="0049761B" w:rsidRPr="0049761B" w:rsidRDefault="009A3293" w:rsidP="007548C1">
      <w:pPr>
        <w:rPr>
          <w:rFonts w:cstheme="minorHAnsi"/>
        </w:rPr>
      </w:pPr>
      <w:r>
        <w:rPr>
          <w:rFonts w:cstheme="minorHAnsi"/>
          <w:lang w:val="fr-FR"/>
        </w:rPr>
        <w:t>Easymail fonctionne comme une passerelle de messagerie électronique pour le trafic de courrier sortant et permet aux clients enregistrés de dissimuler et de protéger leur serveur de messagerie électronique local de l'Internet.</w:t>
      </w:r>
    </w:p>
    <w:p w14:paraId="40E5392B" w14:textId="77777777" w:rsidR="00343559" w:rsidRPr="0049761B" w:rsidRDefault="0042569A" w:rsidP="007548C1">
      <w:pPr>
        <w:rPr>
          <w:rStyle w:val="s1"/>
        </w:rPr>
      </w:pPr>
      <w:r>
        <w:rPr>
          <w:rFonts w:cstheme="minorHAnsi"/>
          <w:lang w:val="fr-FR"/>
        </w:rPr>
        <w:t xml:space="preserve">Easymail </w:t>
      </w:r>
      <w:r>
        <w:rPr>
          <w:rStyle w:val="s1"/>
          <w:lang w:val="fr-FR"/>
        </w:rPr>
        <w:t>permet d’améliorer le MTA (Mail Transfer Agent) local du client des manières suivantes :</w:t>
      </w:r>
    </w:p>
    <w:p w14:paraId="34CEEABB" w14:textId="77777777" w:rsidR="004015A9" w:rsidRPr="0049761B" w:rsidRDefault="004015A9" w:rsidP="001B52D6">
      <w:pPr>
        <w:pStyle w:val="ListParagraph"/>
        <w:widowControl/>
        <w:numPr>
          <w:ilvl w:val="0"/>
          <w:numId w:val="11"/>
        </w:numPr>
        <w:spacing w:line="264" w:lineRule="atLeast"/>
        <w:contextualSpacing/>
        <w:rPr>
          <w:rStyle w:val="s1"/>
        </w:rPr>
      </w:pPr>
      <w:proofErr w:type="gramStart"/>
      <w:r>
        <w:rPr>
          <w:rStyle w:val="s1"/>
          <w:rFonts w:cstheme="minorHAnsi"/>
          <w:lang w:val="fr-FR"/>
        </w:rPr>
        <w:t>c</w:t>
      </w:r>
      <w:r>
        <w:rPr>
          <w:rStyle w:val="s1"/>
          <w:lang w:val="fr-FR"/>
        </w:rPr>
        <w:t>ouche</w:t>
      </w:r>
      <w:proofErr w:type="gramEnd"/>
      <w:r>
        <w:rPr>
          <w:rStyle w:val="s1"/>
          <w:lang w:val="fr-FR"/>
        </w:rPr>
        <w:t xml:space="preserve"> de protection du courrier électronique à haute valeur ajoutée comprenant une analyse AVAS et un filtrage partiel du contenu.</w:t>
      </w:r>
    </w:p>
    <w:p w14:paraId="010FE60C" w14:textId="77777777" w:rsidR="00D81254" w:rsidRPr="0049761B" w:rsidRDefault="004015A9" w:rsidP="001B52D6">
      <w:pPr>
        <w:pStyle w:val="ListParagraph"/>
        <w:widowControl/>
        <w:numPr>
          <w:ilvl w:val="0"/>
          <w:numId w:val="11"/>
        </w:numPr>
        <w:spacing w:line="264" w:lineRule="atLeast"/>
        <w:contextualSpacing/>
        <w:rPr>
          <w:rStyle w:val="s1"/>
        </w:rPr>
      </w:pPr>
      <w:proofErr w:type="gramStart"/>
      <w:r>
        <w:rPr>
          <w:rStyle w:val="s1"/>
          <w:lang w:val="fr-FR"/>
        </w:rPr>
        <w:t>au</w:t>
      </w:r>
      <w:proofErr w:type="gramEnd"/>
      <w:r>
        <w:rPr>
          <w:rStyle w:val="s1"/>
          <w:lang w:val="fr-FR"/>
        </w:rPr>
        <w:t xml:space="preserve"> moins une adresse IP sortante active et supervisée provenant de différents groupes d'adresses IP, garantissant que le trafic de courrier électronique sortant valide du client arrivera à destination.</w:t>
      </w:r>
    </w:p>
    <w:p w14:paraId="59F9133B" w14:textId="77777777" w:rsidR="00D81254" w:rsidRPr="0049761B" w:rsidRDefault="00066B7C" w:rsidP="001B52D6">
      <w:pPr>
        <w:pStyle w:val="ListParagraph"/>
        <w:widowControl/>
        <w:numPr>
          <w:ilvl w:val="0"/>
          <w:numId w:val="11"/>
        </w:numPr>
        <w:spacing w:line="264" w:lineRule="atLeast"/>
        <w:contextualSpacing/>
        <w:rPr>
          <w:rStyle w:val="s1"/>
        </w:rPr>
      </w:pPr>
      <w:proofErr w:type="gramStart"/>
      <w:r>
        <w:rPr>
          <w:rStyle w:val="s1"/>
          <w:lang w:val="fr-FR"/>
        </w:rPr>
        <w:t>le</w:t>
      </w:r>
      <w:proofErr w:type="gramEnd"/>
      <w:r>
        <w:rPr>
          <w:rStyle w:val="s1"/>
          <w:lang w:val="fr-FR"/>
        </w:rPr>
        <w:t xml:space="preserve"> MTA du client peut être configuré et fonctionner comme un service de courrier électronique de base, axé sur les besoins spécifiques de l'utilisateur final.</w:t>
      </w:r>
    </w:p>
    <w:p w14:paraId="4363931B" w14:textId="77777777" w:rsidR="00D81254" w:rsidRPr="0049761B" w:rsidRDefault="002F0C84" w:rsidP="001B52D6">
      <w:pPr>
        <w:pStyle w:val="ListParagraph"/>
        <w:widowControl/>
        <w:numPr>
          <w:ilvl w:val="0"/>
          <w:numId w:val="11"/>
        </w:numPr>
        <w:spacing w:line="264" w:lineRule="atLeast"/>
        <w:contextualSpacing/>
        <w:rPr>
          <w:rStyle w:val="s1"/>
        </w:rPr>
      </w:pPr>
      <w:proofErr w:type="gramStart"/>
      <w:r>
        <w:rPr>
          <w:rStyle w:val="s1"/>
          <w:lang w:val="fr-FR"/>
        </w:rPr>
        <w:t>le</w:t>
      </w:r>
      <w:proofErr w:type="gramEnd"/>
      <w:r>
        <w:rPr>
          <w:rStyle w:val="s1"/>
          <w:lang w:val="fr-FR"/>
        </w:rPr>
        <w:t xml:space="preserve"> client peut faire appel à des experts en courrier électronique de POST pour l’assistance et l'analyse du trafic de courrier électronique.</w:t>
      </w:r>
    </w:p>
    <w:p w14:paraId="5E0F3B7D" w14:textId="77777777" w:rsidR="00D81254" w:rsidRPr="0049761B" w:rsidRDefault="007E1DB0" w:rsidP="007548C1">
      <w:r>
        <w:rPr>
          <w:noProof/>
          <w:lang w:val="fr-FR"/>
        </w:rPr>
        <w:t xml:space="preserve"> </w:t>
      </w:r>
      <w:r>
        <w:rPr>
          <w:noProof/>
          <w:lang w:val="fr-FR"/>
        </w:rPr>
        <w:lastRenderedPageBreak/>
        <w:drawing>
          <wp:inline distT="0" distB="0" distL="0" distR="0" wp14:anchorId="5B89016F">
            <wp:extent cx="6122670" cy="3338830"/>
            <wp:effectExtent l="0" t="0" r="0" b="0"/>
            <wp:docPr id="55" name="Picture 54">
              <a:extLst xmlns:a="http://schemas.openxmlformats.org/drawingml/2006/main">
                <a:ext uri="{FF2B5EF4-FFF2-40B4-BE49-F238E27FC236}">
                  <a16:creationId xmlns:a16="http://schemas.microsoft.com/office/drawing/2014/main" id="{BC2CA926-A475-BDCC-E7F4-CA4BCA14F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BC2CA926-A475-BDCC-E7F4-CA4BCA14F7A5}"/>
                        </a:ext>
                      </a:extLst>
                    </pic:cNvPr>
                    <pic:cNvPicPr>
                      <a:picLocks noChangeAspect="1"/>
                    </pic:cNvPicPr>
                  </pic:nvPicPr>
                  <pic:blipFill>
                    <a:blip r:embed="rId20"/>
                    <a:stretch>
                      <a:fillRect/>
                    </a:stretch>
                  </pic:blipFill>
                  <pic:spPr>
                    <a:xfrm>
                      <a:off x="0" y="0"/>
                      <a:ext cx="6122670" cy="3338830"/>
                    </a:xfrm>
                    <a:prstGeom prst="rect">
                      <a:avLst/>
                    </a:prstGeom>
                  </pic:spPr>
                </pic:pic>
              </a:graphicData>
            </a:graphic>
          </wp:inline>
        </w:drawing>
      </w:r>
    </w:p>
    <w:p w14:paraId="096A0B99" w14:textId="77777777" w:rsidR="0049761B" w:rsidRPr="0049761B" w:rsidRDefault="00343559" w:rsidP="00343559">
      <w:pPr>
        <w:pStyle w:val="Heading2"/>
      </w:pPr>
      <w:r>
        <w:rPr>
          <w:bCs/>
          <w:lang w:val="fr-FR"/>
        </w:rPr>
        <w:t>Description détaillée du produit</w:t>
      </w:r>
    </w:p>
    <w:p w14:paraId="444B903F" w14:textId="77777777" w:rsidR="0049761B" w:rsidRPr="0049761B" w:rsidRDefault="00446514" w:rsidP="00343559">
      <w:pPr>
        <w:pStyle w:val="TableParagraph"/>
      </w:pPr>
      <w:r>
        <w:rPr>
          <w:lang w:val="fr-FR"/>
        </w:rPr>
        <w:t>Easymail est un relais de messagerie sécurisé réservé aux clients professionnels de POST Telecom.</w:t>
      </w:r>
    </w:p>
    <w:p w14:paraId="21E9AC69" w14:textId="77777777" w:rsidR="00A40D23" w:rsidRPr="0049761B" w:rsidRDefault="00A40D23" w:rsidP="00343559">
      <w:pPr>
        <w:pStyle w:val="TableParagraph"/>
      </w:pPr>
      <w:r>
        <w:rPr>
          <w:lang w:val="fr-FR"/>
        </w:rPr>
        <w:t xml:space="preserve">Les clients peuvent envoyer gratuitement un nombre illimité </w:t>
      </w:r>
      <w:proofErr w:type="gramStart"/>
      <w:r>
        <w:rPr>
          <w:lang w:val="fr-FR"/>
        </w:rPr>
        <w:t>d'e-mails</w:t>
      </w:r>
      <w:proofErr w:type="gramEnd"/>
      <w:r>
        <w:rPr>
          <w:lang w:val="fr-FR"/>
        </w:rPr>
        <w:t>.</w:t>
      </w:r>
    </w:p>
    <w:p w14:paraId="1C8804B9" w14:textId="77777777" w:rsidR="00343559" w:rsidRPr="0049761B" w:rsidRDefault="00343559" w:rsidP="00343559">
      <w:pPr>
        <w:pStyle w:val="Heading1"/>
      </w:pPr>
      <w:r>
        <w:rPr>
          <w:lang w:val="fr-FR"/>
        </w:rPr>
        <w:t>FOURNITURE DE SERVICES</w:t>
      </w:r>
    </w:p>
    <w:p w14:paraId="2929F91C" w14:textId="77777777" w:rsidR="00343559" w:rsidRPr="0049761B" w:rsidRDefault="00343559" w:rsidP="00343559">
      <w:pPr>
        <w:pStyle w:val="Heading2"/>
      </w:pPr>
      <w:r>
        <w:rPr>
          <w:bCs/>
          <w:lang w:val="fr-FR"/>
        </w:rPr>
        <w:t>Méthodologie de mise en œuvre (Installation initiale du service)</w:t>
      </w:r>
    </w:p>
    <w:p w14:paraId="4A468116" w14:textId="77777777" w:rsidR="00F8646C" w:rsidRPr="0049761B" w:rsidRDefault="00F8646C" w:rsidP="00970895">
      <w:pPr>
        <w:pStyle w:val="ListParagraph"/>
        <w:widowControl/>
        <w:spacing w:line="264" w:lineRule="atLeast"/>
        <w:ind w:left="720"/>
        <w:contextualSpacing/>
        <w:rPr>
          <w:noProof/>
        </w:rPr>
      </w:pPr>
      <w:r>
        <w:rPr>
          <w:noProof/>
          <w:lang w:val="fr-FR"/>
        </w:rPr>
        <w:t>POST :</w:t>
      </w:r>
    </w:p>
    <w:p w14:paraId="0DD301A3" w14:textId="77777777" w:rsidR="0049761B" w:rsidRPr="0049761B" w:rsidRDefault="00F8646C" w:rsidP="001B52D6">
      <w:pPr>
        <w:pStyle w:val="ListParagraph"/>
        <w:widowControl/>
        <w:numPr>
          <w:ilvl w:val="0"/>
          <w:numId w:val="16"/>
        </w:numPr>
        <w:spacing w:line="264" w:lineRule="atLeast"/>
        <w:contextualSpacing/>
        <w:rPr>
          <w:noProof/>
        </w:rPr>
      </w:pPr>
      <w:r>
        <w:rPr>
          <w:noProof/>
          <w:lang w:val="fr-FR"/>
        </w:rPr>
        <w:t>Enregistrement du nom de domaine du client</w:t>
      </w:r>
    </w:p>
    <w:p w14:paraId="72F2791E" w14:textId="77777777" w:rsidR="00F8646C" w:rsidRPr="0049761B" w:rsidRDefault="00F8646C" w:rsidP="001B52D6">
      <w:pPr>
        <w:pStyle w:val="ListParagraph"/>
        <w:widowControl/>
        <w:numPr>
          <w:ilvl w:val="0"/>
          <w:numId w:val="16"/>
        </w:numPr>
        <w:spacing w:line="264" w:lineRule="atLeast"/>
        <w:contextualSpacing/>
        <w:rPr>
          <w:noProof/>
        </w:rPr>
      </w:pPr>
      <w:r>
        <w:rPr>
          <w:noProof/>
          <w:lang w:val="fr-FR"/>
        </w:rPr>
        <w:t>Un lien est généré</w:t>
      </w:r>
    </w:p>
    <w:p w14:paraId="5B1D68DC" w14:textId="77777777" w:rsidR="00F8646C" w:rsidRPr="0049761B" w:rsidRDefault="00F8646C" w:rsidP="001B52D6">
      <w:pPr>
        <w:pStyle w:val="ListParagraph"/>
        <w:widowControl/>
        <w:numPr>
          <w:ilvl w:val="1"/>
          <w:numId w:val="10"/>
        </w:numPr>
        <w:spacing w:line="264" w:lineRule="atLeast"/>
        <w:contextualSpacing/>
        <w:rPr>
          <w:noProof/>
        </w:rPr>
      </w:pPr>
      <w:r>
        <w:rPr>
          <w:noProof/>
          <w:lang w:val="fr-FR"/>
        </w:rPr>
        <w:t>Ajout de l’hébergement relais du client (entrant)</w:t>
      </w:r>
    </w:p>
    <w:p w14:paraId="124CAE98" w14:textId="77777777" w:rsidR="00F8646C" w:rsidRPr="0049761B" w:rsidRDefault="00F8646C" w:rsidP="001B52D6">
      <w:pPr>
        <w:pStyle w:val="ListParagraph"/>
        <w:widowControl/>
        <w:numPr>
          <w:ilvl w:val="1"/>
          <w:numId w:val="10"/>
        </w:numPr>
        <w:spacing w:line="264" w:lineRule="atLeast"/>
        <w:contextualSpacing/>
        <w:rPr>
          <w:noProof/>
        </w:rPr>
      </w:pPr>
      <w:r>
        <w:rPr>
          <w:noProof/>
          <w:lang w:val="fr-FR"/>
        </w:rPr>
        <w:t>Ajout des noms de domaine du client (entrant)</w:t>
      </w:r>
    </w:p>
    <w:p w14:paraId="22D2BB90" w14:textId="77777777" w:rsidR="00F8646C" w:rsidRPr="0049761B" w:rsidRDefault="00F8646C" w:rsidP="001B52D6">
      <w:pPr>
        <w:pStyle w:val="ListParagraph"/>
        <w:widowControl/>
        <w:numPr>
          <w:ilvl w:val="1"/>
          <w:numId w:val="10"/>
        </w:numPr>
        <w:spacing w:line="264" w:lineRule="atLeast"/>
        <w:contextualSpacing/>
        <w:rPr>
          <w:noProof/>
        </w:rPr>
      </w:pPr>
      <w:r>
        <w:rPr>
          <w:noProof/>
          <w:lang w:val="fr-FR"/>
        </w:rPr>
        <w:t>Ajout des adresses IP sortantes du client (acheminement via SMTP)</w:t>
      </w:r>
    </w:p>
    <w:p w14:paraId="09723B96" w14:textId="77777777" w:rsidR="00F8646C" w:rsidRPr="0049761B" w:rsidRDefault="00F8646C" w:rsidP="00970895">
      <w:pPr>
        <w:pStyle w:val="ListParagraph"/>
        <w:widowControl/>
        <w:spacing w:line="264" w:lineRule="atLeast"/>
        <w:ind w:left="720"/>
        <w:contextualSpacing/>
        <w:rPr>
          <w:noProof/>
        </w:rPr>
      </w:pPr>
      <w:r>
        <w:rPr>
          <w:noProof/>
          <w:lang w:val="fr-FR"/>
        </w:rPr>
        <w:t>Client :</w:t>
      </w:r>
    </w:p>
    <w:p w14:paraId="7E64ACC6" w14:textId="77777777" w:rsidR="00F8646C" w:rsidRPr="0049761B" w:rsidRDefault="00F8646C" w:rsidP="001B52D6">
      <w:pPr>
        <w:pStyle w:val="ListParagraph"/>
        <w:widowControl/>
        <w:numPr>
          <w:ilvl w:val="1"/>
          <w:numId w:val="10"/>
        </w:numPr>
        <w:spacing w:line="264" w:lineRule="atLeast"/>
        <w:contextualSpacing/>
        <w:rPr>
          <w:noProof/>
        </w:rPr>
      </w:pPr>
      <w:r>
        <w:rPr>
          <w:noProof/>
          <w:lang w:val="fr-FR"/>
        </w:rPr>
        <w:t>Inclusion de l'enregistrement SPF de POST dans le réseau du client</w:t>
      </w:r>
    </w:p>
    <w:p w14:paraId="77452C7A" w14:textId="77777777" w:rsidR="00970895" w:rsidRPr="0049761B" w:rsidRDefault="00970895" w:rsidP="00C25856">
      <w:pPr>
        <w:pStyle w:val="TableParagraph"/>
        <w:rPr>
          <w:rFonts w:eastAsiaTheme="minorHAnsi" w:cs="Tahoma"/>
          <w:color w:val="auto"/>
          <w:highlight w:val="green"/>
        </w:rPr>
      </w:pPr>
    </w:p>
    <w:p w14:paraId="33C82A99" w14:textId="77777777" w:rsidR="0049761B" w:rsidRPr="0049761B" w:rsidRDefault="00C25856" w:rsidP="00C25856">
      <w:pPr>
        <w:pStyle w:val="TableParagraph"/>
        <w:rPr>
          <w:rFonts w:eastAsiaTheme="minorHAnsi" w:cs="Tahoma"/>
          <w:color w:val="auto"/>
        </w:rPr>
      </w:pPr>
      <w:r>
        <w:rPr>
          <w:rFonts w:eastAsiaTheme="minorHAnsi" w:cs="Tahoma"/>
          <w:color w:val="auto"/>
          <w:lang w:val="fr-FR"/>
        </w:rPr>
        <w:t>Temps d’installation estimé :</w:t>
      </w:r>
    </w:p>
    <w:p w14:paraId="2117072D" w14:textId="77777777" w:rsidR="00C25856" w:rsidRPr="0049761B" w:rsidRDefault="00C25856" w:rsidP="001B52D6">
      <w:pPr>
        <w:pStyle w:val="TableParagraph"/>
        <w:numPr>
          <w:ilvl w:val="0"/>
          <w:numId w:val="10"/>
        </w:numPr>
        <w:rPr>
          <w:rFonts w:eastAsiaTheme="minorHAnsi" w:cs="Tahoma"/>
          <w:color w:val="auto"/>
        </w:rPr>
      </w:pPr>
      <w:r>
        <w:rPr>
          <w:rFonts w:eastAsiaTheme="minorHAnsi" w:cs="Tahoma"/>
          <w:color w:val="auto"/>
          <w:lang w:val="fr-FR"/>
        </w:rPr>
        <w:t>POST : 1 heure</w:t>
      </w:r>
    </w:p>
    <w:p w14:paraId="0B7B09CA" w14:textId="77777777" w:rsidR="00C25856" w:rsidRPr="0049761B" w:rsidRDefault="00C25856" w:rsidP="001B52D6">
      <w:pPr>
        <w:pStyle w:val="TableParagraph"/>
        <w:numPr>
          <w:ilvl w:val="0"/>
          <w:numId w:val="10"/>
        </w:numPr>
        <w:rPr>
          <w:rFonts w:eastAsiaTheme="minorHAnsi" w:cs="Tahoma"/>
          <w:color w:val="auto"/>
        </w:rPr>
      </w:pPr>
      <w:r>
        <w:rPr>
          <w:rFonts w:eastAsiaTheme="minorHAnsi" w:cs="Tahoma"/>
          <w:color w:val="auto"/>
          <w:lang w:val="fr-FR"/>
        </w:rPr>
        <w:t>Client : 1 heure</w:t>
      </w:r>
    </w:p>
    <w:p w14:paraId="0A3345F4" w14:textId="77777777" w:rsidR="00C25856" w:rsidRPr="0049761B" w:rsidRDefault="00C25856" w:rsidP="00C25856">
      <w:pPr>
        <w:pStyle w:val="TableParagraph"/>
        <w:rPr>
          <w:rFonts w:ascii="Calibri" w:eastAsiaTheme="minorHAnsi" w:hAnsi="Calibri"/>
          <w:color w:val="auto"/>
        </w:rPr>
      </w:pPr>
    </w:p>
    <w:p w14:paraId="6C0F64A0" w14:textId="77777777" w:rsidR="00C25856" w:rsidRDefault="00C25856" w:rsidP="00C25856">
      <w:pPr>
        <w:pStyle w:val="TableParagraph"/>
        <w:rPr>
          <w:rFonts w:eastAsiaTheme="minorHAnsi" w:cs="Tahoma"/>
          <w:color w:val="auto"/>
          <w:lang w:val="fr-FR"/>
        </w:rPr>
      </w:pPr>
      <w:r>
        <w:rPr>
          <w:rFonts w:eastAsiaTheme="minorHAnsi" w:cs="Tahoma"/>
          <w:color w:val="auto"/>
          <w:lang w:val="fr-FR"/>
        </w:rPr>
        <w:t>Temps de déploiement estimé : 1 jour (après réception de la commande et en fonction de la réactivité du client)</w:t>
      </w:r>
    </w:p>
    <w:p w14:paraId="259436CD" w14:textId="77777777" w:rsidR="00905E58" w:rsidRDefault="00905E58" w:rsidP="00C25856">
      <w:pPr>
        <w:pStyle w:val="TableParagraph"/>
        <w:rPr>
          <w:rFonts w:eastAsiaTheme="minorHAnsi" w:cs="Tahoma"/>
          <w:color w:val="auto"/>
          <w:lang w:val="fr-FR"/>
        </w:rPr>
      </w:pPr>
    </w:p>
    <w:p w14:paraId="420726DF" w14:textId="77777777" w:rsidR="00905E58" w:rsidRPr="0049761B" w:rsidRDefault="00905E58" w:rsidP="00C25856">
      <w:pPr>
        <w:pStyle w:val="TableParagraph"/>
        <w:rPr>
          <w:rFonts w:eastAsiaTheme="minorHAnsi" w:cs="Tahoma"/>
          <w:color w:val="auto"/>
        </w:rPr>
      </w:pPr>
    </w:p>
    <w:p w14:paraId="276B0F08" w14:textId="77777777" w:rsidR="004D6B1E" w:rsidRPr="0049761B" w:rsidRDefault="004D6B1E" w:rsidP="004D6B1E">
      <w:pPr>
        <w:pStyle w:val="Heading2"/>
        <w:rPr>
          <w:noProof/>
        </w:rPr>
      </w:pPr>
      <w:r>
        <w:rPr>
          <w:bCs/>
          <w:noProof/>
          <w:lang w:val="fr-FR"/>
        </w:rPr>
        <w:lastRenderedPageBreak/>
        <w:t>Résiliation du service</w:t>
      </w:r>
    </w:p>
    <w:p w14:paraId="512C6D76" w14:textId="77777777" w:rsidR="00D866F6" w:rsidRPr="0049761B" w:rsidRDefault="00D866F6" w:rsidP="00D866F6">
      <w:pPr>
        <w:widowControl/>
        <w:spacing w:line="264" w:lineRule="atLeast"/>
        <w:ind w:left="360"/>
        <w:contextualSpacing/>
        <w:rPr>
          <w:noProof/>
        </w:rPr>
      </w:pPr>
      <w:r>
        <w:rPr>
          <w:noProof/>
          <w:lang w:val="fr-FR"/>
        </w:rPr>
        <w:t>Easymail est réservé aux clients professionnels de POST Telecom qui ont souscrit à d'autres services. La résiliation de tous les services POST entraîne la résiliation d'Easymail. Lorsque le client professionnel a résilié son dernier service POST Telecom, le service Easymail est désactivé pour les mois suivants. Une notification sera envoyée au client professionnel avant la désactivation.</w:t>
      </w:r>
    </w:p>
    <w:p w14:paraId="3070339E" w14:textId="77777777" w:rsidR="00803271" w:rsidRPr="0049761B" w:rsidRDefault="00D866F6" w:rsidP="00D866F6">
      <w:pPr>
        <w:widowControl/>
        <w:spacing w:line="264" w:lineRule="atLeast"/>
        <w:ind w:left="360"/>
        <w:contextualSpacing/>
        <w:rPr>
          <w:noProof/>
        </w:rPr>
      </w:pPr>
      <w:r>
        <w:rPr>
          <w:noProof/>
          <w:lang w:val="fr-FR"/>
        </w:rPr>
        <w:t>Aucune indemnité de résiliation anticipée relative à Easymail ne sera exigée.</w:t>
      </w:r>
    </w:p>
    <w:p w14:paraId="5B78EF84" w14:textId="77777777" w:rsidR="00803271" w:rsidRPr="0049761B" w:rsidRDefault="00803271" w:rsidP="00803271">
      <w:pPr>
        <w:widowControl/>
        <w:spacing w:line="264" w:lineRule="atLeast"/>
        <w:ind w:left="360"/>
        <w:contextualSpacing/>
        <w:rPr>
          <w:noProof/>
        </w:rPr>
      </w:pPr>
    </w:p>
    <w:p w14:paraId="498980DB" w14:textId="77777777" w:rsidR="004D6B1E" w:rsidRPr="0049761B" w:rsidRDefault="004D6B1E" w:rsidP="001B52D6">
      <w:pPr>
        <w:pStyle w:val="ListParagraph"/>
        <w:widowControl/>
        <w:numPr>
          <w:ilvl w:val="0"/>
          <w:numId w:val="19"/>
        </w:numPr>
        <w:spacing w:line="264" w:lineRule="atLeast"/>
        <w:contextualSpacing/>
        <w:rPr>
          <w:noProof/>
        </w:rPr>
      </w:pPr>
      <w:r>
        <w:rPr>
          <w:noProof/>
          <w:lang w:val="fr-FR"/>
        </w:rPr>
        <w:t>POST Technologies :</w:t>
      </w:r>
    </w:p>
    <w:p w14:paraId="3B212C99" w14:textId="77777777" w:rsidR="004D6B1E" w:rsidRPr="0049761B" w:rsidRDefault="004D6B1E" w:rsidP="001B52D6">
      <w:pPr>
        <w:pStyle w:val="ListParagraph"/>
        <w:widowControl/>
        <w:numPr>
          <w:ilvl w:val="1"/>
          <w:numId w:val="10"/>
        </w:numPr>
        <w:spacing w:line="264" w:lineRule="atLeast"/>
        <w:contextualSpacing/>
        <w:rPr>
          <w:noProof/>
        </w:rPr>
      </w:pPr>
      <w:r>
        <w:rPr>
          <w:noProof/>
          <w:lang w:val="fr-FR"/>
        </w:rPr>
        <w:t>Suppression de l’hébergement relais du client</w:t>
      </w:r>
    </w:p>
    <w:p w14:paraId="02B8B7A9" w14:textId="77777777" w:rsidR="004D6B1E" w:rsidRPr="0049761B" w:rsidRDefault="004D6B1E" w:rsidP="001B52D6">
      <w:pPr>
        <w:pStyle w:val="ListParagraph"/>
        <w:widowControl/>
        <w:numPr>
          <w:ilvl w:val="1"/>
          <w:numId w:val="10"/>
        </w:numPr>
        <w:spacing w:line="264" w:lineRule="atLeast"/>
        <w:contextualSpacing/>
        <w:rPr>
          <w:noProof/>
        </w:rPr>
      </w:pPr>
      <w:r>
        <w:rPr>
          <w:noProof/>
          <w:lang w:val="fr-FR"/>
        </w:rPr>
        <w:t>Suppression des noms de domaine du client</w:t>
      </w:r>
    </w:p>
    <w:p w14:paraId="036A8C37" w14:textId="77777777" w:rsidR="004D6B1E" w:rsidRPr="0049761B" w:rsidRDefault="004D6B1E" w:rsidP="001B52D6">
      <w:pPr>
        <w:pStyle w:val="ListParagraph"/>
        <w:widowControl/>
        <w:numPr>
          <w:ilvl w:val="1"/>
          <w:numId w:val="10"/>
        </w:numPr>
        <w:spacing w:line="264" w:lineRule="atLeast"/>
        <w:contextualSpacing/>
        <w:rPr>
          <w:noProof/>
        </w:rPr>
      </w:pPr>
      <w:r>
        <w:rPr>
          <w:noProof/>
          <w:lang w:val="fr-FR"/>
        </w:rPr>
        <w:t>Suppression des adresses IP sortantes du client</w:t>
      </w:r>
    </w:p>
    <w:p w14:paraId="2991C7D7" w14:textId="77777777" w:rsidR="0049761B" w:rsidRPr="0049761B" w:rsidRDefault="004D6B1E" w:rsidP="001B52D6">
      <w:pPr>
        <w:pStyle w:val="ListParagraph"/>
        <w:widowControl/>
        <w:numPr>
          <w:ilvl w:val="0"/>
          <w:numId w:val="20"/>
        </w:numPr>
        <w:spacing w:line="264" w:lineRule="atLeast"/>
        <w:contextualSpacing/>
        <w:rPr>
          <w:noProof/>
        </w:rPr>
      </w:pPr>
      <w:r>
        <w:rPr>
          <w:noProof/>
          <w:lang w:val="fr-FR"/>
        </w:rPr>
        <w:t>Client :</w:t>
      </w:r>
    </w:p>
    <w:p w14:paraId="58AC53DE" w14:textId="77777777" w:rsidR="004D6B1E" w:rsidRPr="0049761B" w:rsidRDefault="004D6B1E" w:rsidP="001B52D6">
      <w:pPr>
        <w:pStyle w:val="ListParagraph"/>
        <w:widowControl/>
        <w:numPr>
          <w:ilvl w:val="1"/>
          <w:numId w:val="10"/>
        </w:numPr>
        <w:spacing w:line="264" w:lineRule="atLeast"/>
        <w:contextualSpacing/>
        <w:rPr>
          <w:noProof/>
        </w:rPr>
      </w:pPr>
      <w:r>
        <w:rPr>
          <w:noProof/>
          <w:lang w:val="fr-FR"/>
        </w:rPr>
        <w:t>Suppression de l'enregistrement SPF de POST du réseau du client</w:t>
      </w:r>
    </w:p>
    <w:p w14:paraId="661A5542" w14:textId="77777777" w:rsidR="00C25856" w:rsidRPr="0049761B" w:rsidRDefault="00C25856" w:rsidP="00343559">
      <w:pPr>
        <w:pStyle w:val="TableParagraph"/>
        <w:rPr>
          <w:rFonts w:ascii="Calibri" w:eastAsiaTheme="minorHAnsi" w:hAnsi="Calibri"/>
          <w:color w:val="auto"/>
          <w:highlight w:val="green"/>
        </w:rPr>
      </w:pPr>
    </w:p>
    <w:p w14:paraId="1B45B2D3" w14:textId="77777777" w:rsidR="00343559" w:rsidRPr="0049761B" w:rsidRDefault="00343559" w:rsidP="00343559">
      <w:pPr>
        <w:pStyle w:val="Heading1"/>
      </w:pPr>
      <w:r>
        <w:rPr>
          <w:lang w:val="fr-FR"/>
        </w:rPr>
        <w:t>ACCORD DE NIVEAU DE SERVICE</w:t>
      </w:r>
    </w:p>
    <w:p w14:paraId="5BEA0711" w14:textId="77777777" w:rsidR="00343559" w:rsidRPr="0049761B" w:rsidRDefault="00343559" w:rsidP="00343559">
      <w:pPr>
        <w:pStyle w:val="Heading2"/>
      </w:pPr>
      <w:r>
        <w:rPr>
          <w:bCs/>
          <w:lang w:val="fr-FR"/>
        </w:rPr>
        <w:t>Objet</w:t>
      </w:r>
    </w:p>
    <w:p w14:paraId="3C1DFCC7" w14:textId="77777777" w:rsidR="0049761B" w:rsidRPr="0049761B" w:rsidRDefault="00343559" w:rsidP="00343559">
      <w:pPr>
        <w:ind w:left="576"/>
      </w:pPr>
      <w:r>
        <w:rPr>
          <w:lang w:val="fr-FR"/>
        </w:rPr>
        <w:t>L'objet du présent accord de niveau de service (Service Level Agreement, SLA) est de définir la qualité de service disponible pour le produit et les engagements à fournir cette qualité de service.</w:t>
      </w:r>
    </w:p>
    <w:p w14:paraId="657743D2" w14:textId="77777777" w:rsidR="0049761B" w:rsidRPr="0049761B" w:rsidRDefault="00343559" w:rsidP="00343559">
      <w:pPr>
        <w:ind w:left="576"/>
      </w:pPr>
      <w:r>
        <w:rPr>
          <w:lang w:val="fr-FR"/>
        </w:rPr>
        <w:t>Le SLA définit les indicateurs clés de performance, les valeurs cibles à atteindre, la méthode de mesure et les options de reporting.</w:t>
      </w:r>
    </w:p>
    <w:p w14:paraId="2B71ADDA" w14:textId="77777777" w:rsidR="00343559" w:rsidRPr="0049761B" w:rsidRDefault="00343559" w:rsidP="00343559">
      <w:pPr>
        <w:tabs>
          <w:tab w:val="left" w:pos="8241"/>
        </w:tabs>
        <w:ind w:left="576"/>
        <w:rPr>
          <w:rFonts w:cs="Tahoma"/>
        </w:rPr>
      </w:pPr>
      <w:r>
        <w:rPr>
          <w:rFonts w:cs="Tahoma"/>
          <w:lang w:val="fr-FR"/>
        </w:rPr>
        <w:t>POST Telecom propose plusieurs types de SLA, dont les spécifications sont décrites dans le présent document.</w:t>
      </w:r>
    </w:p>
    <w:p w14:paraId="43274083" w14:textId="77777777" w:rsidR="00343559" w:rsidRPr="0049761B" w:rsidRDefault="00343559" w:rsidP="00343559">
      <w:pPr>
        <w:tabs>
          <w:tab w:val="left" w:pos="8241"/>
        </w:tabs>
        <w:ind w:left="576"/>
        <w:rPr>
          <w:rFonts w:cs="Tahoma"/>
        </w:rPr>
      </w:pPr>
      <w:r>
        <w:rPr>
          <w:rFonts w:cs="Tahoma"/>
          <w:lang w:val="fr-FR"/>
        </w:rPr>
        <w:t>Le type de SLA appliqué pour la fourniture d'un service est spécifié dans le contrat de service.</w:t>
      </w:r>
    </w:p>
    <w:p w14:paraId="53E2C3E5" w14:textId="77777777" w:rsidR="00343559" w:rsidRPr="0049761B" w:rsidRDefault="00343559" w:rsidP="001B52D6">
      <w:pPr>
        <w:numPr>
          <w:ilvl w:val="1"/>
          <w:numId w:val="3"/>
        </w:numPr>
        <w:tabs>
          <w:tab w:val="left" w:pos="8241"/>
        </w:tabs>
        <w:rPr>
          <w:b/>
        </w:rPr>
      </w:pPr>
      <w:r>
        <w:rPr>
          <w:b/>
          <w:bCs/>
          <w:lang w:val="fr-FR"/>
        </w:rPr>
        <w:t>Validité et processus de révision</w:t>
      </w:r>
    </w:p>
    <w:p w14:paraId="3D820E05" w14:textId="77777777" w:rsidR="00343559" w:rsidRPr="0049761B" w:rsidRDefault="00343559" w:rsidP="00343559">
      <w:pPr>
        <w:ind w:left="576"/>
        <w:rPr>
          <w:rFonts w:cs="Tahoma"/>
        </w:rPr>
      </w:pPr>
      <w:r>
        <w:rPr>
          <w:rFonts w:cs="Tahoma"/>
          <w:lang w:val="fr-FR"/>
        </w:rPr>
        <w:t>Le client peut demander la modification du SLA, ce qui peut s’effectuer dans le cadre d'un accord conclu entre les deux parties et entériné par la signature d'un nouveau contrat de service.</w:t>
      </w:r>
    </w:p>
    <w:p w14:paraId="4160A9E3" w14:textId="77777777" w:rsidR="00343559" w:rsidRPr="0049761B" w:rsidRDefault="00343559" w:rsidP="00343559">
      <w:pPr>
        <w:pStyle w:val="Heading2"/>
      </w:pPr>
      <w:r>
        <w:rPr>
          <w:bCs/>
          <w:lang w:val="fr-FR"/>
        </w:rPr>
        <w:t>Méthodologies</w:t>
      </w:r>
    </w:p>
    <w:p w14:paraId="34623BAA" w14:textId="77777777" w:rsidR="00343559" w:rsidRPr="0049761B" w:rsidRDefault="00343559" w:rsidP="00343559">
      <w:pPr>
        <w:ind w:left="576"/>
        <w:rPr>
          <w:rFonts w:cs="Tahoma"/>
        </w:rPr>
      </w:pPr>
      <w:r>
        <w:rPr>
          <w:rFonts w:cs="Tahoma"/>
          <w:lang w:val="fr-FR"/>
        </w:rPr>
        <w:t>Les services sont fournis selon les méthodes utilisées par POST Telecom. Ces méthodes consistent en des processus, des techniques, des savoir-faire, des ressources ou des organisations mis en œuvre par POST Telecom.</w:t>
      </w:r>
    </w:p>
    <w:p w14:paraId="3797A633" w14:textId="77777777" w:rsidR="0049761B" w:rsidRPr="0049761B" w:rsidRDefault="00343559" w:rsidP="00343559">
      <w:pPr>
        <w:tabs>
          <w:tab w:val="left" w:pos="8241"/>
        </w:tabs>
        <w:ind w:left="576"/>
        <w:rPr>
          <w:rFonts w:cs="Tahoma"/>
        </w:rPr>
      </w:pPr>
      <w:r>
        <w:rPr>
          <w:rFonts w:cs="Tahoma"/>
          <w:lang w:val="fr-FR"/>
        </w:rPr>
        <w:t>Les processus d'organisation et d’exécution se fondent sur les meilleures pratiques et recommandations de l’ITIL. Ils satisfont en outre aux exigences de qualité et de sécurité des normes applicables, comme la norme ISO 27001.</w:t>
      </w:r>
    </w:p>
    <w:p w14:paraId="4FCFCA45" w14:textId="77777777" w:rsidR="00343559" w:rsidRPr="0049761B" w:rsidRDefault="00343559" w:rsidP="00343559">
      <w:pPr>
        <w:pStyle w:val="Heading2"/>
      </w:pPr>
      <w:r>
        <w:rPr>
          <w:bCs/>
          <w:lang w:val="fr-FR"/>
        </w:rPr>
        <w:t>Informations et conseils</w:t>
      </w:r>
    </w:p>
    <w:p w14:paraId="718F8770" w14:textId="77777777" w:rsidR="00343559" w:rsidRPr="0049761B" w:rsidRDefault="00343559" w:rsidP="00343559">
      <w:pPr>
        <w:tabs>
          <w:tab w:val="left" w:pos="8241"/>
        </w:tabs>
        <w:ind w:left="576"/>
        <w:rPr>
          <w:rFonts w:cs="Tahoma"/>
        </w:rPr>
      </w:pPr>
      <w:r>
        <w:rPr>
          <w:rFonts w:cs="Tahoma"/>
          <w:lang w:val="fr-FR"/>
        </w:rPr>
        <w:t>Pendant l'exécution du SLA, POST Telecom s'engage à fournir au Client toutes les informations et tous les conseils nécessaires pour lui garantir le niveau de service attendu.</w:t>
      </w:r>
    </w:p>
    <w:p w14:paraId="2A4BD3BE" w14:textId="77777777" w:rsidR="00343559" w:rsidRPr="0049761B" w:rsidRDefault="00343559" w:rsidP="00343559">
      <w:pPr>
        <w:tabs>
          <w:tab w:val="left" w:pos="8241"/>
        </w:tabs>
        <w:ind w:left="576"/>
        <w:rPr>
          <w:rFonts w:cs="Tahoma"/>
        </w:rPr>
      </w:pPr>
      <w:r>
        <w:rPr>
          <w:rFonts w:cs="Tahoma"/>
          <w:lang w:val="fr-FR"/>
        </w:rPr>
        <w:t>En contrepartie, le Client s'engage à prendre des mesures pour coopérer de bonne foi afin de remplir les exigences requises en ce qui concerne les informations à fournir.</w:t>
      </w:r>
    </w:p>
    <w:p w14:paraId="3A06E3D6" w14:textId="77777777" w:rsidR="00343559" w:rsidRPr="0049761B" w:rsidRDefault="00343559" w:rsidP="00343559">
      <w:pPr>
        <w:pStyle w:val="Heading2"/>
      </w:pPr>
      <w:r>
        <w:rPr>
          <w:bCs/>
          <w:lang w:val="fr-FR"/>
        </w:rPr>
        <w:lastRenderedPageBreak/>
        <w:t>Exclusions</w:t>
      </w:r>
    </w:p>
    <w:p w14:paraId="355F4AFB" w14:textId="77777777" w:rsidR="0049761B" w:rsidRPr="0049761B" w:rsidRDefault="00343559" w:rsidP="00343559">
      <w:pPr>
        <w:ind w:firstLine="576"/>
        <w:contextualSpacing/>
        <w:rPr>
          <w:rFonts w:ascii="Arial" w:hAnsi="Arial" w:cs="Arial"/>
          <w:color w:val="222222"/>
        </w:rPr>
      </w:pPr>
      <w:r>
        <w:rPr>
          <w:rFonts w:cs="Tahoma"/>
          <w:lang w:val="fr-FR"/>
        </w:rPr>
        <w:t>La responsabilité de POST Telecom ne peut être engagée et le SLA ne s'applique pas dans les cas suivants :</w:t>
      </w:r>
    </w:p>
    <w:p w14:paraId="23CC488A" w14:textId="77777777" w:rsidR="00343559" w:rsidRPr="0049761B" w:rsidRDefault="00343559" w:rsidP="00343559">
      <w:pPr>
        <w:contextualSpacing/>
      </w:pPr>
    </w:p>
    <w:p w14:paraId="6F07A94D" w14:textId="77777777" w:rsidR="00343559" w:rsidRPr="0049761B" w:rsidRDefault="00343559" w:rsidP="00343559">
      <w:pPr>
        <w:pStyle w:val="bullet"/>
        <w:ind w:left="1418"/>
      </w:pPr>
      <w:r>
        <w:rPr>
          <w:lang w:val="fr-FR"/>
        </w:rPr>
        <w:t>Défaillances constatées sur des Produits, Solutions ou Services non répertoriés dans le Contrat de service et dans la Description des services.</w:t>
      </w:r>
    </w:p>
    <w:p w14:paraId="13F6E0A4" w14:textId="77777777" w:rsidR="00343559" w:rsidRPr="0049761B" w:rsidRDefault="00343559" w:rsidP="00343559">
      <w:pPr>
        <w:pStyle w:val="bullet"/>
        <w:ind w:left="1418"/>
      </w:pPr>
      <w:r>
        <w:rPr>
          <w:lang w:val="fr-FR"/>
        </w:rPr>
        <w:t>Défaillance de biens, solutions et services non fournis et non gérés par POST Telecom.</w:t>
      </w:r>
    </w:p>
    <w:p w14:paraId="0114BC30" w14:textId="77777777" w:rsidR="00343559" w:rsidRPr="0049761B" w:rsidRDefault="00343559" w:rsidP="00343559">
      <w:pPr>
        <w:pStyle w:val="bullet"/>
        <w:ind w:left="1418"/>
      </w:pPr>
      <w:r>
        <w:rPr>
          <w:lang w:val="fr-FR"/>
        </w:rPr>
        <w:t>Défaillance causée par un manquement à une obligation du Client telle que définie dans le Contrat de service et la description des services.</w:t>
      </w:r>
    </w:p>
    <w:p w14:paraId="1384314A" w14:textId="77777777" w:rsidR="00343559" w:rsidRPr="0049761B" w:rsidRDefault="00343559" w:rsidP="00343559">
      <w:pPr>
        <w:pStyle w:val="bullet"/>
        <w:ind w:left="1418"/>
      </w:pPr>
      <w:r>
        <w:rPr>
          <w:lang w:val="fr-FR"/>
        </w:rPr>
        <w:t>Non-communication au Service Desk de POST Telecom d’informations raisonnablement exactes lors du signalement ou du traitement d'un incident.</w:t>
      </w:r>
    </w:p>
    <w:p w14:paraId="5163B209" w14:textId="77777777" w:rsidR="00343559" w:rsidRPr="0049761B" w:rsidRDefault="00343559" w:rsidP="00343559">
      <w:pPr>
        <w:pStyle w:val="bullet"/>
        <w:ind w:left="1418"/>
      </w:pPr>
      <w:r>
        <w:rPr>
          <w:lang w:val="fr-FR"/>
        </w:rPr>
        <w:t>Dysfonctionnements causés par des appareils, des éléments physiques, des équipements et/ou des logiciels installés par le Client.</w:t>
      </w:r>
    </w:p>
    <w:p w14:paraId="78B1D38D" w14:textId="77777777" w:rsidR="00343559" w:rsidRPr="0049761B" w:rsidRDefault="00343559" w:rsidP="00343559">
      <w:pPr>
        <w:pStyle w:val="bullet"/>
        <w:ind w:left="1418"/>
      </w:pPr>
      <w:r>
        <w:rPr>
          <w:lang w:val="fr-FR"/>
        </w:rPr>
        <w:t>Modification par le Client de la configuration du Système telle que convenue dans le Contrat de service sans l'approbation de POST Telecom.</w:t>
      </w:r>
    </w:p>
    <w:p w14:paraId="590DCD4B" w14:textId="77777777" w:rsidR="00343559" w:rsidRPr="0049761B" w:rsidRDefault="00343559" w:rsidP="00343559">
      <w:pPr>
        <w:pStyle w:val="bullet"/>
        <w:ind w:left="1418"/>
      </w:pPr>
      <w:r>
        <w:rPr>
          <w:lang w:val="fr-FR"/>
        </w:rPr>
        <w:t>Impossibilité pour POST Telecom d'effectuer les tâches de maintenance ou des mises à jour de service nécessaires du fait du Client.</w:t>
      </w:r>
    </w:p>
    <w:p w14:paraId="0189A6DE" w14:textId="77777777" w:rsidR="00343559" w:rsidRPr="0049761B" w:rsidRDefault="00343559" w:rsidP="00343559">
      <w:pPr>
        <w:pStyle w:val="bullet"/>
        <w:ind w:left="1418"/>
      </w:pPr>
      <w:r>
        <w:rPr>
          <w:lang w:val="fr-FR"/>
        </w:rPr>
        <w:t>Dysfonctionnement causé par des systèmes non pris en charge par POST Telecom.</w:t>
      </w:r>
    </w:p>
    <w:p w14:paraId="18D3465A" w14:textId="77777777" w:rsidR="0049761B" w:rsidRPr="0049761B" w:rsidRDefault="00343559" w:rsidP="00343559">
      <w:pPr>
        <w:ind w:left="720"/>
        <w:contextualSpacing/>
      </w:pPr>
      <w:r>
        <w:rPr>
          <w:lang w:val="fr-FR"/>
        </w:rPr>
        <w:t>L'identification, l'examen et la résolution de l'une des pannes suivantes peuvent entraîner la facturation de frais supplémentaires au Client par POST Telecom :</w:t>
      </w:r>
    </w:p>
    <w:p w14:paraId="7C3EAAE8" w14:textId="77777777" w:rsidR="00343559" w:rsidRPr="0049761B" w:rsidRDefault="00343559" w:rsidP="00343559">
      <w:pPr>
        <w:pStyle w:val="bullet"/>
        <w:ind w:left="1418"/>
      </w:pPr>
      <w:r>
        <w:rPr>
          <w:lang w:val="fr-FR"/>
        </w:rPr>
        <w:t>Défaillances causées par une négligence grave du Client ou de toute autre personne ayant accès aux services fournis par POST Telecom.</w:t>
      </w:r>
    </w:p>
    <w:p w14:paraId="0B2F852D" w14:textId="77777777" w:rsidR="0049761B" w:rsidRPr="0049761B" w:rsidRDefault="00343559" w:rsidP="00343559">
      <w:pPr>
        <w:pStyle w:val="bullet"/>
        <w:ind w:left="1418"/>
        <w:rPr>
          <w:rFonts w:eastAsia="Calibri"/>
          <w:color w:val="595959"/>
        </w:rPr>
      </w:pPr>
      <w:r>
        <w:rPr>
          <w:lang w:val="fr-FR"/>
        </w:rPr>
        <w:t>Défaillances dues à une atteinte délibérée du Client aux services fournis par POST Telecom.</w:t>
      </w:r>
    </w:p>
    <w:p w14:paraId="3914C705" w14:textId="77777777" w:rsidR="00343559" w:rsidRPr="0049761B" w:rsidRDefault="00343559" w:rsidP="00343559">
      <w:pPr>
        <w:ind w:left="720"/>
      </w:pPr>
      <w:r>
        <w:rPr>
          <w:lang w:val="fr-FR"/>
        </w:rPr>
        <w:t>Cela étant dit, POST Telecom entend être un partenaire utile et accommodant en toutes circonstances, et déploiera ses meilleurs efforts pour aider autant que possible le Client.</w:t>
      </w:r>
    </w:p>
    <w:p w14:paraId="6D23E314" w14:textId="77777777" w:rsidR="00343559" w:rsidRPr="0049761B" w:rsidRDefault="00343559" w:rsidP="00343559">
      <w:pPr>
        <w:pStyle w:val="Heading2"/>
      </w:pPr>
      <w:r>
        <w:rPr>
          <w:bCs/>
          <w:lang w:val="fr-FR"/>
        </w:rPr>
        <w:t>Responsabilité</w:t>
      </w:r>
    </w:p>
    <w:p w14:paraId="14CB756C" w14:textId="77777777" w:rsidR="00343559" w:rsidRPr="0049761B" w:rsidRDefault="00343559" w:rsidP="00343559">
      <w:pPr>
        <w:pStyle w:val="Heading3"/>
      </w:pPr>
      <w:r>
        <w:rPr>
          <w:lang w:val="fr-FR"/>
        </w:rPr>
        <w:t>Responsabilité de POST Telecom</w:t>
      </w:r>
    </w:p>
    <w:p w14:paraId="5C646D26" w14:textId="77777777" w:rsidR="0049761B" w:rsidRPr="0049761B" w:rsidRDefault="00343559" w:rsidP="00343559">
      <w:pPr>
        <w:pStyle w:val="TableParagraph"/>
        <w:ind w:left="720"/>
      </w:pPr>
      <w:r>
        <w:rPr>
          <w:lang w:val="fr-FR"/>
        </w:rPr>
        <w:t>POST Telecom fournira et entretiendra le Système utilisé par le Client comme convenu dans le Contrat de service.</w:t>
      </w:r>
    </w:p>
    <w:p w14:paraId="13BC3E7F" w14:textId="77777777" w:rsidR="00343559" w:rsidRPr="0049761B" w:rsidRDefault="00343559" w:rsidP="00343559">
      <w:pPr>
        <w:pStyle w:val="TableParagraph"/>
        <w:ind w:left="720"/>
      </w:pPr>
      <w:r>
        <w:rPr>
          <w:lang w:val="fr-FR"/>
        </w:rPr>
        <w:t>En outre, POST Telecom :</w:t>
      </w:r>
    </w:p>
    <w:p w14:paraId="37B652FF" w14:textId="77777777" w:rsidR="00343559" w:rsidRPr="0049761B" w:rsidRDefault="00343559" w:rsidP="00343559">
      <w:pPr>
        <w:pStyle w:val="bullet"/>
        <w:ind w:left="1146"/>
      </w:pPr>
      <w:proofErr w:type="gramStart"/>
      <w:r>
        <w:rPr>
          <w:lang w:val="fr-FR"/>
        </w:rPr>
        <w:t>répondra</w:t>
      </w:r>
      <w:proofErr w:type="gramEnd"/>
      <w:r>
        <w:rPr>
          <w:lang w:val="fr-FR"/>
        </w:rPr>
        <w:t xml:space="preserve"> aux demandes d'assistance dans les délais indiqués dans le présent document.</w:t>
      </w:r>
    </w:p>
    <w:p w14:paraId="689AD7B4" w14:textId="77777777" w:rsidR="00343559" w:rsidRPr="0049761B" w:rsidRDefault="00343559" w:rsidP="00343559">
      <w:pPr>
        <w:pStyle w:val="bullet"/>
        <w:ind w:left="1146"/>
      </w:pPr>
      <w:proofErr w:type="gramStart"/>
      <w:r>
        <w:rPr>
          <w:lang w:val="fr-FR"/>
        </w:rPr>
        <w:t>prendra</w:t>
      </w:r>
      <w:proofErr w:type="gramEnd"/>
      <w:r>
        <w:rPr>
          <w:lang w:val="fr-FR"/>
        </w:rPr>
        <w:t xml:space="preserve"> des mesures pour identifier et résoudre les problèmes dans les délais définis dans le présent document.</w:t>
      </w:r>
    </w:p>
    <w:p w14:paraId="1751F0C8" w14:textId="77777777" w:rsidR="0049761B" w:rsidRPr="0049761B" w:rsidRDefault="00343559" w:rsidP="00343559">
      <w:pPr>
        <w:pStyle w:val="bullet"/>
        <w:ind w:left="1146"/>
      </w:pPr>
      <w:proofErr w:type="gramStart"/>
      <w:r>
        <w:rPr>
          <w:lang w:val="fr-FR"/>
        </w:rPr>
        <w:t>maintiendra</w:t>
      </w:r>
      <w:proofErr w:type="gramEnd"/>
      <w:r>
        <w:rPr>
          <w:lang w:val="fr-FR"/>
        </w:rPr>
        <w:t xml:space="preserve"> une communication régulière avec le Client.</w:t>
      </w:r>
    </w:p>
    <w:p w14:paraId="3D8EDAB5" w14:textId="77777777" w:rsidR="00343559" w:rsidRPr="0049761B" w:rsidRDefault="00343559" w:rsidP="00343559">
      <w:pPr>
        <w:pStyle w:val="Heading3"/>
      </w:pPr>
      <w:r>
        <w:rPr>
          <w:lang w:val="fr-FR"/>
        </w:rPr>
        <w:t>Responsabilité du Client</w:t>
      </w:r>
    </w:p>
    <w:p w14:paraId="2C69387B" w14:textId="77777777" w:rsidR="00343559" w:rsidRPr="0049761B" w:rsidRDefault="00343559" w:rsidP="00343559">
      <w:pPr>
        <w:pStyle w:val="TableParagraph"/>
        <w:ind w:left="720"/>
      </w:pPr>
      <w:r>
        <w:rPr>
          <w:lang w:val="fr-FR"/>
        </w:rPr>
        <w:t>Le Client utilisera le Système fourni par POST Telecom comme convenu dans le Contrat de service.</w:t>
      </w:r>
    </w:p>
    <w:p w14:paraId="5BA8A1A5" w14:textId="77777777" w:rsidR="00343559" w:rsidRPr="0049761B" w:rsidRDefault="00343559" w:rsidP="00343559">
      <w:pPr>
        <w:pStyle w:val="TableParagraph"/>
        <w:ind w:left="720"/>
      </w:pPr>
      <w:r>
        <w:rPr>
          <w:lang w:val="fr-FR"/>
        </w:rPr>
        <w:t>En outre, le Client :</w:t>
      </w:r>
    </w:p>
    <w:p w14:paraId="6F4E2469" w14:textId="77777777" w:rsidR="0049761B" w:rsidRPr="0049761B" w:rsidRDefault="00343559" w:rsidP="00343559">
      <w:pPr>
        <w:pStyle w:val="bulletparagraph"/>
        <w:ind w:left="1174"/>
      </w:pPr>
      <w:proofErr w:type="gramStart"/>
      <w:r>
        <w:rPr>
          <w:lang w:val="fr-FR"/>
        </w:rPr>
        <w:t>informera</w:t>
      </w:r>
      <w:proofErr w:type="gramEnd"/>
      <w:r>
        <w:rPr>
          <w:lang w:val="fr-FR"/>
        </w:rPr>
        <w:t xml:space="preserve"> POST Telecom de tout problème ou dysfonctionnement dès que possible.</w:t>
      </w:r>
    </w:p>
    <w:p w14:paraId="23D7B872" w14:textId="77777777" w:rsidR="00343559" w:rsidRPr="0049761B" w:rsidRDefault="00343559" w:rsidP="00343559">
      <w:pPr>
        <w:pStyle w:val="bulletparagraph"/>
        <w:ind w:left="1174"/>
      </w:pPr>
      <w:proofErr w:type="gramStart"/>
      <w:r>
        <w:rPr>
          <w:lang w:val="fr-FR"/>
        </w:rPr>
        <w:t>fournira</w:t>
      </w:r>
      <w:proofErr w:type="gramEnd"/>
      <w:r>
        <w:rPr>
          <w:lang w:val="fr-FR"/>
        </w:rPr>
        <w:t xml:space="preserve"> à POST Telecom tout accès nécessaire au(x) Système(s) à des fins de maintenance, de mise à jour et de prévention des pannes.</w:t>
      </w:r>
    </w:p>
    <w:p w14:paraId="25CBC143" w14:textId="77777777" w:rsidR="0049761B" w:rsidRPr="0049761B" w:rsidRDefault="00343559" w:rsidP="00343559">
      <w:pPr>
        <w:pStyle w:val="bulletparagraph"/>
        <w:ind w:left="1174"/>
      </w:pPr>
      <w:proofErr w:type="gramStart"/>
      <w:r>
        <w:rPr>
          <w:lang w:val="fr-FR"/>
        </w:rPr>
        <w:t>maintiendra</w:t>
      </w:r>
      <w:proofErr w:type="gramEnd"/>
      <w:r>
        <w:rPr>
          <w:lang w:val="fr-FR"/>
        </w:rPr>
        <w:t xml:space="preserve"> une communication régulière avec POST Telecom.</w:t>
      </w:r>
    </w:p>
    <w:p w14:paraId="14C1E4A2" w14:textId="77777777" w:rsidR="00343559" w:rsidRPr="0049761B" w:rsidRDefault="00343559" w:rsidP="00343559">
      <w:pPr>
        <w:pStyle w:val="bulletparagraph"/>
        <w:ind w:left="1174"/>
      </w:pPr>
      <w:proofErr w:type="gramStart"/>
      <w:r>
        <w:rPr>
          <w:lang w:val="fr-FR"/>
        </w:rPr>
        <w:t>sera</w:t>
      </w:r>
      <w:proofErr w:type="gramEnd"/>
      <w:r>
        <w:rPr>
          <w:lang w:val="fr-FR"/>
        </w:rPr>
        <w:t xml:space="preserve"> disponible et, si nécessaire, collaborera à la résolution des incidents, en particulier ceux assortis d’une priorité P1. Il confirmera la résolution une fois que le service sera revenu à des conditions normales.</w:t>
      </w:r>
    </w:p>
    <w:p w14:paraId="6D6CE4A7" w14:textId="77777777" w:rsidR="00343559" w:rsidRPr="0049761B" w:rsidRDefault="00343559" w:rsidP="00343559">
      <w:pPr>
        <w:pStyle w:val="Heading2"/>
      </w:pPr>
      <w:r>
        <w:rPr>
          <w:bCs/>
          <w:lang w:val="fr-FR"/>
        </w:rPr>
        <w:t>Sécurité sur l'infrastructure</w:t>
      </w:r>
    </w:p>
    <w:p w14:paraId="058CD7A7" w14:textId="77777777" w:rsidR="00343559" w:rsidRPr="0049761B" w:rsidRDefault="00343559" w:rsidP="00343559">
      <w:pPr>
        <w:pStyle w:val="TableParagraph"/>
      </w:pPr>
      <w:r>
        <w:rPr>
          <w:lang w:val="fr-FR"/>
        </w:rPr>
        <w:t>POST Telecom a mis en place des mécanismes de contrôle et de sécurisation efficaces afin de prévenir tout accès physique non autorisé aux systèmes d'exploitation, aux applications et/ou aux équipements de POST Telecom. Ces mécanismes permettent à POST Telecom de s'assurer que l'accès au(x) Système(s) et aux données du Client est limité aux seuls utilisateurs autorisés et que toutes les informations confidentielles du Client sont protégées contre toute utilisation abusive.</w:t>
      </w:r>
    </w:p>
    <w:p w14:paraId="0739D440" w14:textId="77777777" w:rsidR="0049761B" w:rsidRPr="0049761B" w:rsidRDefault="00343559" w:rsidP="00343559">
      <w:pPr>
        <w:pStyle w:val="TableParagraph"/>
      </w:pPr>
      <w:r>
        <w:rPr>
          <w:lang w:val="fr-FR"/>
        </w:rPr>
        <w:t xml:space="preserve">Les politiques de sécurité de POST Telecom sont basées sur le code de pratique </w:t>
      </w:r>
      <w:r>
        <w:rPr>
          <w:color w:val="595959"/>
          <w:lang w:val="fr-FR"/>
        </w:rPr>
        <w:t xml:space="preserve">ISO 27001 </w:t>
      </w:r>
      <w:r>
        <w:rPr>
          <w:lang w:val="fr-FR"/>
        </w:rPr>
        <w:t>pour les contrôles de sécurité de l'information.</w:t>
      </w:r>
    </w:p>
    <w:p w14:paraId="50903FAA" w14:textId="77777777" w:rsidR="00343559" w:rsidRPr="0049761B" w:rsidRDefault="00343559" w:rsidP="00343559">
      <w:pPr>
        <w:pStyle w:val="Heading2"/>
      </w:pPr>
      <w:r>
        <w:rPr>
          <w:bCs/>
          <w:lang w:val="fr-FR"/>
        </w:rPr>
        <w:t>Centre de service client</w:t>
      </w:r>
    </w:p>
    <w:p w14:paraId="48E7413D" w14:textId="77777777" w:rsidR="00343559" w:rsidRPr="0049761B" w:rsidRDefault="00343559" w:rsidP="00343559">
      <w:pPr>
        <w:ind w:left="576"/>
        <w:rPr>
          <w:rFonts w:cs="Tahoma"/>
        </w:rPr>
      </w:pPr>
      <w:r>
        <w:rPr>
          <w:rFonts w:cs="Tahoma"/>
          <w:lang w:val="fr-FR"/>
        </w:rPr>
        <w:t>Le Centre de service client est votre point de contact unique, 24h/24h et 7j/7, pour les demandes d'assistance.</w:t>
      </w:r>
    </w:p>
    <w:p w14:paraId="6ABE8AE3" w14:textId="77777777" w:rsidR="00343559" w:rsidRPr="0049761B" w:rsidRDefault="00343559" w:rsidP="00343559">
      <w:pPr>
        <w:ind w:left="576"/>
        <w:rPr>
          <w:rFonts w:cs="Tahoma"/>
        </w:rPr>
      </w:pPr>
      <w:r>
        <w:rPr>
          <w:rFonts w:cs="Tahoma"/>
          <w:lang w:val="fr-FR"/>
        </w:rPr>
        <w:t>Un document opérationnel contenant des informations sur les contacts et les modalités est fourni au début du service de support.</w:t>
      </w:r>
    </w:p>
    <w:p w14:paraId="2AE31C7A" w14:textId="77777777" w:rsidR="0049761B" w:rsidRPr="0049761B" w:rsidRDefault="00343559" w:rsidP="00343559">
      <w:pPr>
        <w:ind w:left="576"/>
      </w:pPr>
      <w:r>
        <w:rPr>
          <w:lang w:val="fr-FR"/>
        </w:rPr>
        <w:t>Le Centre de service client peut être contacté par téléphone (80024000) ou par courrier électronique (commercial.telecom@post.lu).</w:t>
      </w:r>
    </w:p>
    <w:p w14:paraId="65C85161" w14:textId="77777777" w:rsidR="00343559" w:rsidRPr="0049761B" w:rsidRDefault="00343559" w:rsidP="00343559">
      <w:pPr>
        <w:ind w:left="576"/>
        <w:rPr>
          <w:rFonts w:cs="Tahoma"/>
        </w:rPr>
      </w:pPr>
      <w:r>
        <w:rPr>
          <w:rFonts w:cs="Tahoma"/>
          <w:lang w:val="fr-FR"/>
        </w:rPr>
        <w:t>Le tableau ci-dessous indique le « temps de réponse » applicable aux différents canaux de communication. Les demandes (incidents et demandes de service) seront traitées pendant la fenêtre de service du service souscrit considéré :</w:t>
      </w:r>
    </w:p>
    <w:p w14:paraId="50E6E701" w14:textId="77777777" w:rsidR="00343559" w:rsidRPr="0049761B" w:rsidRDefault="00343559" w:rsidP="00343559">
      <w:pPr>
        <w:pStyle w:val="Caption"/>
        <w:jc w:val="center"/>
      </w:pPr>
    </w:p>
    <w:tbl>
      <w:tblPr>
        <w:tblW w:w="7083"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3828"/>
        <w:gridCol w:w="3255"/>
      </w:tblGrid>
      <w:tr w:rsidR="00343559" w:rsidRPr="0049761B" w14:paraId="1EF2CA0A" w14:textId="77777777" w:rsidTr="001011F4">
        <w:trPr>
          <w:trHeight w:val="620"/>
          <w:jc w:val="center"/>
        </w:trPr>
        <w:tc>
          <w:tcPr>
            <w:tcW w:w="3828" w:type="dxa"/>
            <w:tcMar>
              <w:top w:w="0" w:type="dxa"/>
              <w:left w:w="108" w:type="dxa"/>
              <w:bottom w:w="0" w:type="dxa"/>
              <w:right w:w="108" w:type="dxa"/>
            </w:tcMar>
            <w:vAlign w:val="center"/>
            <w:hideMark/>
          </w:tcPr>
          <w:p w14:paraId="4538F95D" w14:textId="77777777" w:rsidR="00343559" w:rsidRPr="0049761B" w:rsidRDefault="00343559" w:rsidP="001011F4">
            <w:pPr>
              <w:spacing w:line="240" w:lineRule="auto"/>
              <w:jc w:val="center"/>
              <w:rPr>
                <w:b/>
                <w:color w:val="00A6D4"/>
              </w:rPr>
            </w:pPr>
            <w:r>
              <w:rPr>
                <w:b/>
                <w:bCs/>
                <w:color w:val="00A6D4"/>
                <w:lang w:val="fr-FR"/>
              </w:rPr>
              <w:t>Canal de communication</w:t>
            </w:r>
          </w:p>
        </w:tc>
        <w:tc>
          <w:tcPr>
            <w:tcW w:w="3255" w:type="dxa"/>
            <w:vAlign w:val="center"/>
          </w:tcPr>
          <w:p w14:paraId="35C3431F" w14:textId="77777777" w:rsidR="00343559" w:rsidRPr="0049761B" w:rsidRDefault="00343559" w:rsidP="0049761B">
            <w:pPr>
              <w:spacing w:line="240" w:lineRule="auto"/>
              <w:ind w:left="138" w:right="142"/>
              <w:jc w:val="center"/>
              <w:rPr>
                <w:b/>
                <w:color w:val="00A6D4"/>
              </w:rPr>
            </w:pPr>
            <w:r>
              <w:rPr>
                <w:b/>
                <w:bCs/>
                <w:color w:val="00A6D4"/>
                <w:lang w:val="fr-FR"/>
              </w:rPr>
              <w:t>Qualification (temps de réponse) par le Centre de service client</w:t>
            </w:r>
          </w:p>
        </w:tc>
      </w:tr>
      <w:tr w:rsidR="00343559" w:rsidRPr="0049761B" w14:paraId="449F4976" w14:textId="77777777" w:rsidTr="001011F4">
        <w:trPr>
          <w:trHeight w:val="543"/>
          <w:jc w:val="center"/>
        </w:trPr>
        <w:tc>
          <w:tcPr>
            <w:tcW w:w="3828" w:type="dxa"/>
            <w:tcMar>
              <w:top w:w="0" w:type="dxa"/>
              <w:left w:w="108" w:type="dxa"/>
              <w:bottom w:w="0" w:type="dxa"/>
              <w:right w:w="108" w:type="dxa"/>
            </w:tcMar>
            <w:vAlign w:val="center"/>
            <w:hideMark/>
          </w:tcPr>
          <w:p w14:paraId="633DA9F0" w14:textId="77777777" w:rsidR="00343559" w:rsidRPr="0049761B" w:rsidRDefault="00343559" w:rsidP="001011F4">
            <w:pPr>
              <w:spacing w:line="240" w:lineRule="auto"/>
              <w:jc w:val="center"/>
              <w:rPr>
                <w:color w:val="595959"/>
                <w:sz w:val="18"/>
                <w:szCs w:val="18"/>
              </w:rPr>
            </w:pPr>
            <w:r>
              <w:rPr>
                <w:rFonts w:cs="Tahoma"/>
                <w:b/>
                <w:bCs/>
                <w:color w:val="595959"/>
                <w:sz w:val="18"/>
                <w:lang w:val="fr-FR"/>
              </w:rPr>
              <w:t>Téléphone</w:t>
            </w:r>
          </w:p>
        </w:tc>
        <w:tc>
          <w:tcPr>
            <w:tcW w:w="3255" w:type="dxa"/>
            <w:vAlign w:val="center"/>
          </w:tcPr>
          <w:p w14:paraId="4FAD40E4" w14:textId="77777777" w:rsidR="00343559" w:rsidRPr="0049761B" w:rsidRDefault="00343559" w:rsidP="001011F4">
            <w:pPr>
              <w:spacing w:line="240" w:lineRule="auto"/>
              <w:jc w:val="center"/>
              <w:rPr>
                <w:rFonts w:cs="Tahoma"/>
                <w:color w:val="595959"/>
                <w:sz w:val="18"/>
                <w:szCs w:val="18"/>
              </w:rPr>
            </w:pPr>
            <w:r>
              <w:rPr>
                <w:sz w:val="18"/>
                <w:szCs w:val="18"/>
                <w:lang w:val="fr-FR"/>
              </w:rPr>
              <w:t>&lt; 15 minutes</w:t>
            </w:r>
          </w:p>
        </w:tc>
      </w:tr>
      <w:tr w:rsidR="00343559" w:rsidRPr="0049761B" w14:paraId="0AF437EC" w14:textId="77777777" w:rsidTr="001011F4">
        <w:trPr>
          <w:trHeight w:val="423"/>
          <w:jc w:val="center"/>
        </w:trPr>
        <w:tc>
          <w:tcPr>
            <w:tcW w:w="3828" w:type="dxa"/>
            <w:tcMar>
              <w:top w:w="0" w:type="dxa"/>
              <w:left w:w="108" w:type="dxa"/>
              <w:bottom w:w="0" w:type="dxa"/>
              <w:right w:w="108" w:type="dxa"/>
            </w:tcMar>
            <w:vAlign w:val="center"/>
          </w:tcPr>
          <w:p w14:paraId="2DD21D84" w14:textId="77777777" w:rsidR="00343559" w:rsidRPr="0049761B" w:rsidRDefault="00343559" w:rsidP="001011F4">
            <w:pPr>
              <w:spacing w:line="240" w:lineRule="auto"/>
              <w:jc w:val="center"/>
              <w:rPr>
                <w:rFonts w:cs="Tahoma"/>
                <w:b/>
                <w:bCs/>
                <w:color w:val="595959"/>
                <w:sz w:val="18"/>
              </w:rPr>
            </w:pPr>
            <w:proofErr w:type="gramStart"/>
            <w:r>
              <w:rPr>
                <w:rFonts w:cs="Tahoma"/>
                <w:b/>
                <w:bCs/>
                <w:color w:val="595959"/>
                <w:sz w:val="18"/>
                <w:lang w:val="fr-FR"/>
              </w:rPr>
              <w:t>E-mail</w:t>
            </w:r>
            <w:proofErr w:type="gramEnd"/>
          </w:p>
        </w:tc>
        <w:tc>
          <w:tcPr>
            <w:tcW w:w="3255" w:type="dxa"/>
            <w:vAlign w:val="center"/>
          </w:tcPr>
          <w:p w14:paraId="70C32F23" w14:textId="77777777" w:rsidR="00343559" w:rsidRPr="0049761B" w:rsidRDefault="00343559" w:rsidP="001011F4">
            <w:pPr>
              <w:spacing w:line="240" w:lineRule="auto"/>
              <w:jc w:val="center"/>
              <w:rPr>
                <w:sz w:val="18"/>
                <w:szCs w:val="18"/>
              </w:rPr>
            </w:pPr>
            <w:r>
              <w:rPr>
                <w:sz w:val="18"/>
                <w:szCs w:val="18"/>
                <w:lang w:val="fr-FR"/>
              </w:rPr>
              <w:t>&lt; 30 minutes</w:t>
            </w:r>
          </w:p>
        </w:tc>
      </w:tr>
      <w:tr w:rsidR="00343559" w:rsidRPr="0049761B" w14:paraId="7D32B6D4" w14:textId="77777777" w:rsidTr="001011F4">
        <w:trPr>
          <w:trHeight w:val="556"/>
          <w:jc w:val="center"/>
        </w:trPr>
        <w:tc>
          <w:tcPr>
            <w:tcW w:w="3828" w:type="dxa"/>
            <w:tcMar>
              <w:top w:w="0" w:type="dxa"/>
              <w:left w:w="108" w:type="dxa"/>
              <w:bottom w:w="0" w:type="dxa"/>
              <w:right w:w="108" w:type="dxa"/>
            </w:tcMar>
            <w:vAlign w:val="center"/>
            <w:hideMark/>
          </w:tcPr>
          <w:p w14:paraId="561202EB" w14:textId="77777777" w:rsidR="00343559" w:rsidRPr="0049761B" w:rsidRDefault="00343559" w:rsidP="001011F4">
            <w:pPr>
              <w:spacing w:line="240" w:lineRule="auto"/>
              <w:jc w:val="center"/>
              <w:rPr>
                <w:color w:val="595959"/>
                <w:sz w:val="18"/>
                <w:szCs w:val="18"/>
              </w:rPr>
            </w:pPr>
            <w:r>
              <w:rPr>
                <w:rFonts w:cs="Tahoma"/>
                <w:b/>
                <w:bCs/>
                <w:color w:val="595959"/>
                <w:sz w:val="18"/>
                <w:lang w:val="fr-FR"/>
              </w:rPr>
              <w:t>Portail clients</w:t>
            </w:r>
            <w:r>
              <w:rPr>
                <w:rStyle w:val="FootnoteReference"/>
                <w:rFonts w:cs="Tahoma"/>
                <w:b/>
                <w:bCs/>
                <w:color w:val="595959"/>
                <w:sz w:val="18"/>
                <w:lang w:val="fr-FR"/>
              </w:rPr>
              <w:footnoteReference w:id="2"/>
            </w:r>
          </w:p>
        </w:tc>
        <w:tc>
          <w:tcPr>
            <w:tcW w:w="3255" w:type="dxa"/>
            <w:vAlign w:val="center"/>
          </w:tcPr>
          <w:p w14:paraId="0C06D554" w14:textId="77777777" w:rsidR="00343559" w:rsidRPr="0049761B" w:rsidRDefault="00343559" w:rsidP="001011F4">
            <w:pPr>
              <w:spacing w:line="240" w:lineRule="auto"/>
              <w:jc w:val="center"/>
              <w:rPr>
                <w:rFonts w:cs="Tahoma"/>
                <w:color w:val="595959"/>
                <w:sz w:val="18"/>
                <w:szCs w:val="18"/>
              </w:rPr>
            </w:pPr>
            <w:r>
              <w:rPr>
                <w:sz w:val="18"/>
                <w:szCs w:val="18"/>
                <w:lang w:val="fr-FR"/>
              </w:rPr>
              <w:t>&lt; 15 minutes</w:t>
            </w:r>
          </w:p>
        </w:tc>
      </w:tr>
    </w:tbl>
    <w:p w14:paraId="1D9CCF84" w14:textId="77777777" w:rsidR="0049761B" w:rsidRDefault="0049761B" w:rsidP="0049761B">
      <w:pPr>
        <w:pStyle w:val="Caption"/>
        <w:spacing w:after="0"/>
        <w:jc w:val="center"/>
      </w:pPr>
    </w:p>
    <w:p w14:paraId="23D1AF08" w14:textId="77777777" w:rsidR="00343559" w:rsidRDefault="00343559" w:rsidP="00343559">
      <w:pPr>
        <w:pStyle w:val="Caption"/>
        <w:jc w:val="center"/>
        <w:rPr>
          <w:noProof/>
        </w:rPr>
      </w:pPr>
      <w:r>
        <w:t xml:space="preserve">Figure </w:t>
      </w:r>
      <w:fldSimple w:instr=" SEQ Figure \* ARABIC  \* MERGEFORMAT ">
        <w:r>
          <w:rPr>
            <w:noProof/>
          </w:rPr>
          <w:t>1</w:t>
        </w:r>
      </w:fldSimple>
      <w:r>
        <w:rPr>
          <w:noProof/>
        </w:rPr>
        <w:t> : Canaux et temps de réponse</w:t>
      </w:r>
    </w:p>
    <w:p w14:paraId="3E348299" w14:textId="77777777" w:rsidR="00905E58" w:rsidRPr="00905E58" w:rsidRDefault="00905E58" w:rsidP="00905E58">
      <w:pPr>
        <w:rPr>
          <w:lang w:val="fr-FR" w:eastAsia="fr-FR" w:bidi="fr-FR"/>
        </w:rPr>
      </w:pPr>
    </w:p>
    <w:p w14:paraId="7F83065D" w14:textId="77777777" w:rsidR="00343559" w:rsidRPr="0049761B" w:rsidRDefault="00343559" w:rsidP="00343559">
      <w:pPr>
        <w:pStyle w:val="Heading2"/>
      </w:pPr>
      <w:r>
        <w:rPr>
          <w:bCs/>
          <w:lang w:val="fr-FR"/>
        </w:rPr>
        <w:t>Niveaux d'incidents</w:t>
      </w:r>
    </w:p>
    <w:p w14:paraId="6098155E" w14:textId="77777777" w:rsidR="0049761B" w:rsidRPr="0049761B" w:rsidRDefault="00343559" w:rsidP="00343559">
      <w:pPr>
        <w:tabs>
          <w:tab w:val="left" w:pos="8241"/>
        </w:tabs>
        <w:ind w:left="576"/>
      </w:pPr>
      <w:r>
        <w:rPr>
          <w:lang w:val="fr-FR"/>
        </w:rPr>
        <w:t>Sur la base de son processus de gestion des incidents, le Centre de service client de POST Telecom enregistre et classe tout incident avec une priorité correspondante, en fonction de son impact.</w:t>
      </w:r>
    </w:p>
    <w:p w14:paraId="4578B374" w14:textId="77777777" w:rsidR="00343559" w:rsidRPr="0049761B" w:rsidRDefault="00343559" w:rsidP="00343559">
      <w:pPr>
        <w:rPr>
          <w:sz w:val="8"/>
        </w:rPr>
      </w:pPr>
    </w:p>
    <w:tbl>
      <w:tblPr>
        <w:tblW w:w="9351"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1142"/>
        <w:gridCol w:w="2175"/>
        <w:gridCol w:w="6034"/>
      </w:tblGrid>
      <w:tr w:rsidR="00343559" w:rsidRPr="0049761B" w14:paraId="193B75FD" w14:textId="77777777" w:rsidTr="001011F4">
        <w:trPr>
          <w:trHeight w:val="686"/>
          <w:jc w:val="center"/>
        </w:trPr>
        <w:tc>
          <w:tcPr>
            <w:tcW w:w="1063" w:type="dxa"/>
            <w:tcMar>
              <w:top w:w="0" w:type="dxa"/>
              <w:left w:w="108" w:type="dxa"/>
              <w:bottom w:w="0" w:type="dxa"/>
              <w:right w:w="108" w:type="dxa"/>
            </w:tcMar>
            <w:vAlign w:val="center"/>
            <w:hideMark/>
          </w:tcPr>
          <w:p w14:paraId="42895018" w14:textId="77777777" w:rsidR="00343559" w:rsidRPr="0049761B" w:rsidRDefault="00343559" w:rsidP="001011F4">
            <w:pPr>
              <w:spacing w:line="240" w:lineRule="auto"/>
              <w:jc w:val="center"/>
              <w:rPr>
                <w:b/>
                <w:color w:val="00A6D4"/>
              </w:rPr>
            </w:pPr>
            <w:r>
              <w:rPr>
                <w:b/>
                <w:bCs/>
                <w:color w:val="00A6D4"/>
                <w:lang w:val="fr-FR"/>
              </w:rPr>
              <w:t>Priorité de l'incident</w:t>
            </w:r>
          </w:p>
        </w:tc>
        <w:tc>
          <w:tcPr>
            <w:tcW w:w="2193" w:type="dxa"/>
            <w:vAlign w:val="center"/>
          </w:tcPr>
          <w:p w14:paraId="28D2723A" w14:textId="77777777" w:rsidR="00343559" w:rsidRPr="0049761B" w:rsidRDefault="00343559" w:rsidP="001011F4">
            <w:pPr>
              <w:spacing w:line="240" w:lineRule="auto"/>
              <w:jc w:val="center"/>
              <w:rPr>
                <w:b/>
                <w:color w:val="00A6D4"/>
              </w:rPr>
            </w:pPr>
            <w:r>
              <w:rPr>
                <w:b/>
                <w:bCs/>
                <w:color w:val="00A6D4"/>
                <w:lang w:val="fr-FR"/>
              </w:rPr>
              <w:t>Impact</w:t>
            </w:r>
          </w:p>
        </w:tc>
        <w:tc>
          <w:tcPr>
            <w:tcW w:w="6095" w:type="dxa"/>
            <w:tcMar>
              <w:top w:w="0" w:type="dxa"/>
              <w:left w:w="108" w:type="dxa"/>
              <w:bottom w:w="0" w:type="dxa"/>
              <w:right w:w="108" w:type="dxa"/>
            </w:tcMar>
            <w:vAlign w:val="center"/>
            <w:hideMark/>
          </w:tcPr>
          <w:p w14:paraId="2C74D5D1" w14:textId="77777777" w:rsidR="00343559" w:rsidRPr="0049761B" w:rsidRDefault="00343559" w:rsidP="001011F4">
            <w:pPr>
              <w:spacing w:line="240" w:lineRule="auto"/>
              <w:jc w:val="center"/>
              <w:rPr>
                <w:b/>
                <w:color w:val="00A6D4"/>
              </w:rPr>
            </w:pPr>
            <w:r>
              <w:rPr>
                <w:b/>
                <w:bCs/>
                <w:color w:val="00A6D4"/>
                <w:lang w:val="fr-FR"/>
              </w:rPr>
              <w:t>Explication</w:t>
            </w:r>
          </w:p>
        </w:tc>
      </w:tr>
      <w:tr w:rsidR="00343559" w:rsidRPr="0049761B" w14:paraId="6CA5D9E6" w14:textId="77777777" w:rsidTr="001011F4">
        <w:trPr>
          <w:trHeight w:val="967"/>
          <w:jc w:val="center"/>
        </w:trPr>
        <w:tc>
          <w:tcPr>
            <w:tcW w:w="1063" w:type="dxa"/>
            <w:tcMar>
              <w:top w:w="0" w:type="dxa"/>
              <w:left w:w="108" w:type="dxa"/>
              <w:bottom w:w="0" w:type="dxa"/>
              <w:right w:w="108" w:type="dxa"/>
            </w:tcMar>
            <w:vAlign w:val="center"/>
            <w:hideMark/>
          </w:tcPr>
          <w:p w14:paraId="192A3431" w14:textId="77777777" w:rsidR="00343559" w:rsidRPr="0049761B" w:rsidRDefault="00343559" w:rsidP="001011F4">
            <w:pPr>
              <w:spacing w:line="240" w:lineRule="auto"/>
              <w:jc w:val="center"/>
              <w:rPr>
                <w:color w:val="595959"/>
                <w:sz w:val="18"/>
              </w:rPr>
            </w:pPr>
            <w:r>
              <w:rPr>
                <w:b/>
                <w:bCs/>
                <w:color w:val="595959"/>
                <w:sz w:val="18"/>
                <w:lang w:val="fr-FR"/>
              </w:rPr>
              <w:t>P1</w:t>
            </w:r>
          </w:p>
        </w:tc>
        <w:tc>
          <w:tcPr>
            <w:tcW w:w="2193" w:type="dxa"/>
            <w:vAlign w:val="center"/>
          </w:tcPr>
          <w:p w14:paraId="03210802" w14:textId="77777777" w:rsidR="0049761B" w:rsidRPr="0049761B" w:rsidRDefault="0049761B" w:rsidP="001011F4">
            <w:pPr>
              <w:spacing w:line="240" w:lineRule="auto"/>
              <w:jc w:val="center"/>
              <w:rPr>
                <w:color w:val="595959" w:themeColor="text1" w:themeTint="A6"/>
                <w:sz w:val="18"/>
                <w:szCs w:val="18"/>
              </w:rPr>
            </w:pPr>
          </w:p>
          <w:p w14:paraId="253CDDCA" w14:textId="77777777" w:rsidR="00343559" w:rsidRPr="0049761B" w:rsidRDefault="00343559" w:rsidP="001011F4">
            <w:pPr>
              <w:spacing w:line="240" w:lineRule="auto"/>
              <w:jc w:val="center"/>
              <w:rPr>
                <w:rFonts w:cs="Tahoma"/>
                <w:color w:val="595959"/>
                <w:sz w:val="18"/>
                <w:szCs w:val="18"/>
              </w:rPr>
            </w:pPr>
            <w:r>
              <w:rPr>
                <w:color w:val="595959"/>
                <w:sz w:val="18"/>
                <w:lang w:val="fr-FR"/>
              </w:rPr>
              <w:t>Panne totale du service</w:t>
            </w:r>
          </w:p>
        </w:tc>
        <w:tc>
          <w:tcPr>
            <w:tcW w:w="6095" w:type="dxa"/>
            <w:tcMar>
              <w:top w:w="0" w:type="dxa"/>
              <w:left w:w="108" w:type="dxa"/>
              <w:bottom w:w="0" w:type="dxa"/>
              <w:right w:w="108" w:type="dxa"/>
            </w:tcMar>
            <w:vAlign w:val="center"/>
            <w:hideMark/>
          </w:tcPr>
          <w:p w14:paraId="2B15568B" w14:textId="77777777" w:rsidR="00343559" w:rsidRPr="0049761B" w:rsidRDefault="00343559" w:rsidP="001011F4">
            <w:pPr>
              <w:spacing w:line="240" w:lineRule="auto"/>
              <w:rPr>
                <w:color w:val="595959"/>
                <w:sz w:val="18"/>
              </w:rPr>
            </w:pPr>
            <w:r>
              <w:rPr>
                <w:color w:val="595959"/>
                <w:sz w:val="18"/>
                <w:lang w:val="fr-FR"/>
              </w:rPr>
              <w:t>La production du Client ou l'utilisation de la solution/du produit est arrêtée ou si gravement affectée que le Client n'est pas en mesure de poursuivre raisonnablement ses activités quotidiennes. Aucune solution de rechange acceptable n'est disponible.</w:t>
            </w:r>
          </w:p>
        </w:tc>
      </w:tr>
      <w:tr w:rsidR="00343559" w:rsidRPr="0049761B" w14:paraId="6C6E243E" w14:textId="77777777" w:rsidTr="001011F4">
        <w:trPr>
          <w:trHeight w:val="1417"/>
          <w:jc w:val="center"/>
        </w:trPr>
        <w:tc>
          <w:tcPr>
            <w:tcW w:w="1063" w:type="dxa"/>
            <w:tcMar>
              <w:top w:w="0" w:type="dxa"/>
              <w:left w:w="108" w:type="dxa"/>
              <w:bottom w:w="0" w:type="dxa"/>
              <w:right w:w="108" w:type="dxa"/>
            </w:tcMar>
            <w:vAlign w:val="center"/>
            <w:hideMark/>
          </w:tcPr>
          <w:p w14:paraId="31A550BB" w14:textId="77777777" w:rsidR="00343559" w:rsidRPr="0049761B" w:rsidRDefault="00343559" w:rsidP="001011F4">
            <w:pPr>
              <w:spacing w:line="240" w:lineRule="auto"/>
              <w:jc w:val="center"/>
              <w:rPr>
                <w:color w:val="595959"/>
                <w:sz w:val="18"/>
              </w:rPr>
            </w:pPr>
            <w:r>
              <w:rPr>
                <w:b/>
                <w:bCs/>
                <w:color w:val="595959"/>
                <w:sz w:val="18"/>
                <w:lang w:val="fr-FR"/>
              </w:rPr>
              <w:t>P2</w:t>
            </w:r>
          </w:p>
        </w:tc>
        <w:tc>
          <w:tcPr>
            <w:tcW w:w="2193" w:type="dxa"/>
            <w:vAlign w:val="center"/>
          </w:tcPr>
          <w:p w14:paraId="2E16D94C" w14:textId="77777777" w:rsidR="0049761B" w:rsidRPr="0049761B" w:rsidRDefault="00343559" w:rsidP="001011F4">
            <w:pPr>
              <w:spacing w:line="240" w:lineRule="auto"/>
              <w:jc w:val="center"/>
              <w:rPr>
                <w:color w:val="595959"/>
                <w:sz w:val="18"/>
              </w:rPr>
            </w:pPr>
            <w:r>
              <w:rPr>
                <w:color w:val="595959"/>
                <w:sz w:val="18"/>
                <w:lang w:val="fr-FR"/>
              </w:rPr>
              <w:t>Dégradation sérieuse du service.</w:t>
            </w:r>
          </w:p>
          <w:p w14:paraId="3D9AF766" w14:textId="77777777" w:rsidR="00343559" w:rsidRPr="0049761B" w:rsidRDefault="00343559" w:rsidP="001011F4">
            <w:pPr>
              <w:spacing w:line="240" w:lineRule="auto"/>
              <w:jc w:val="center"/>
              <w:rPr>
                <w:rFonts w:cs="Tahoma"/>
                <w:color w:val="595959"/>
                <w:sz w:val="18"/>
                <w:szCs w:val="18"/>
              </w:rPr>
            </w:pPr>
            <w:r>
              <w:rPr>
                <w:color w:val="595959"/>
                <w:sz w:val="18"/>
                <w:lang w:val="fr-FR"/>
              </w:rPr>
              <w:t xml:space="preserve">Activités quotidiennes possibles, mais sérieusement affectées. </w:t>
            </w:r>
          </w:p>
        </w:tc>
        <w:tc>
          <w:tcPr>
            <w:tcW w:w="6095" w:type="dxa"/>
            <w:tcMar>
              <w:top w:w="0" w:type="dxa"/>
              <w:left w:w="108" w:type="dxa"/>
              <w:bottom w:w="0" w:type="dxa"/>
              <w:right w:w="108" w:type="dxa"/>
            </w:tcMar>
            <w:vAlign w:val="center"/>
            <w:hideMark/>
          </w:tcPr>
          <w:p w14:paraId="7D11E622" w14:textId="77777777" w:rsidR="00343559" w:rsidRPr="0049761B" w:rsidRDefault="00343559" w:rsidP="001011F4">
            <w:pPr>
              <w:spacing w:line="240" w:lineRule="auto"/>
              <w:rPr>
                <w:color w:val="595959"/>
                <w:sz w:val="18"/>
              </w:rPr>
            </w:pPr>
            <w:r>
              <w:rPr>
                <w:color w:val="595959"/>
                <w:sz w:val="18"/>
                <w:lang w:val="fr-FR"/>
              </w:rPr>
              <w:t>Le service n'est pas arrêté, mais il ne fonctionne pas conformément aux spécifications et l'une des conditions suivantes est remplie :</w:t>
            </w:r>
          </w:p>
          <w:p w14:paraId="32B69DA3" w14:textId="77777777" w:rsidR="00343559" w:rsidRPr="0049761B" w:rsidRDefault="00343559" w:rsidP="001B52D6">
            <w:pPr>
              <w:widowControl/>
              <w:numPr>
                <w:ilvl w:val="0"/>
                <w:numId w:val="7"/>
              </w:numPr>
              <w:spacing w:after="0" w:line="240" w:lineRule="auto"/>
              <w:rPr>
                <w:color w:val="595959"/>
                <w:sz w:val="18"/>
                <w:szCs w:val="18"/>
              </w:rPr>
            </w:pPr>
            <w:r>
              <w:rPr>
                <w:color w:val="595959" w:themeColor="text1" w:themeTint="A6"/>
                <w:sz w:val="18"/>
                <w:szCs w:val="18"/>
                <w:lang w:val="fr-FR"/>
              </w:rPr>
              <w:t>Des fonctionnalités importantes sont indisponibles sans solution de rechange acceptable.</w:t>
            </w:r>
          </w:p>
          <w:p w14:paraId="22CA56A6" w14:textId="77777777" w:rsidR="00343559" w:rsidRPr="0049761B" w:rsidRDefault="00343559" w:rsidP="001B52D6">
            <w:pPr>
              <w:numPr>
                <w:ilvl w:val="0"/>
                <w:numId w:val="7"/>
              </w:numPr>
              <w:spacing w:after="0" w:line="240" w:lineRule="auto"/>
              <w:rPr>
                <w:rFonts w:asciiTheme="minorHAnsi" w:eastAsiaTheme="minorEastAsia" w:hAnsiTheme="minorHAnsi"/>
                <w:sz w:val="18"/>
                <w:szCs w:val="18"/>
              </w:rPr>
            </w:pPr>
            <w:r>
              <w:rPr>
                <w:rFonts w:cs="Arial"/>
                <w:sz w:val="18"/>
                <w:szCs w:val="18"/>
                <w:lang w:val="fr-FR"/>
              </w:rPr>
              <w:t>Panne sporadique (intermittente) mais pas totale du service (solution/produit).</w:t>
            </w:r>
          </w:p>
          <w:p w14:paraId="476AEF61" w14:textId="77777777" w:rsidR="00343559" w:rsidRPr="0049761B" w:rsidRDefault="00343559" w:rsidP="001B52D6">
            <w:pPr>
              <w:widowControl/>
              <w:numPr>
                <w:ilvl w:val="0"/>
                <w:numId w:val="7"/>
              </w:numPr>
              <w:spacing w:after="0" w:line="240" w:lineRule="auto"/>
              <w:rPr>
                <w:color w:val="595959"/>
                <w:sz w:val="18"/>
              </w:rPr>
            </w:pPr>
            <w:r>
              <w:rPr>
                <w:color w:val="595959"/>
                <w:sz w:val="18"/>
                <w:lang w:val="fr-FR"/>
              </w:rPr>
              <w:t>Les performances ou la disponibilité du Système sont compromises. La productivité du Client et/ou le niveau de service sont sérieusement affectés.</w:t>
            </w:r>
          </w:p>
        </w:tc>
      </w:tr>
      <w:tr w:rsidR="00343559" w:rsidRPr="0049761B" w14:paraId="699FF9CF" w14:textId="77777777" w:rsidTr="001011F4">
        <w:trPr>
          <w:trHeight w:val="1399"/>
          <w:jc w:val="center"/>
        </w:trPr>
        <w:tc>
          <w:tcPr>
            <w:tcW w:w="1063" w:type="dxa"/>
            <w:tcMar>
              <w:top w:w="0" w:type="dxa"/>
              <w:left w:w="108" w:type="dxa"/>
              <w:bottom w:w="0" w:type="dxa"/>
              <w:right w:w="108" w:type="dxa"/>
            </w:tcMar>
            <w:vAlign w:val="center"/>
            <w:hideMark/>
          </w:tcPr>
          <w:p w14:paraId="58714DB7" w14:textId="77777777" w:rsidR="00343559" w:rsidRPr="0049761B" w:rsidRDefault="00343559" w:rsidP="001011F4">
            <w:pPr>
              <w:spacing w:line="240" w:lineRule="auto"/>
              <w:jc w:val="center"/>
              <w:rPr>
                <w:color w:val="595959"/>
                <w:sz w:val="18"/>
              </w:rPr>
            </w:pPr>
            <w:r>
              <w:rPr>
                <w:b/>
                <w:bCs/>
                <w:color w:val="595959"/>
                <w:sz w:val="18"/>
                <w:lang w:val="fr-FR"/>
              </w:rPr>
              <w:t>P3</w:t>
            </w:r>
          </w:p>
        </w:tc>
        <w:tc>
          <w:tcPr>
            <w:tcW w:w="2193" w:type="dxa"/>
            <w:vAlign w:val="center"/>
          </w:tcPr>
          <w:p w14:paraId="0DBF549A" w14:textId="77777777" w:rsidR="00343559" w:rsidRPr="0049761B" w:rsidRDefault="00343559" w:rsidP="001011F4">
            <w:pPr>
              <w:spacing w:line="240" w:lineRule="auto"/>
              <w:jc w:val="center"/>
              <w:rPr>
                <w:rFonts w:cs="Tahoma"/>
                <w:color w:val="595959"/>
                <w:sz w:val="18"/>
                <w:szCs w:val="18"/>
              </w:rPr>
            </w:pPr>
            <w:r>
              <w:rPr>
                <w:color w:val="595959" w:themeColor="text1" w:themeTint="A6"/>
                <w:sz w:val="18"/>
                <w:szCs w:val="18"/>
                <w:lang w:val="fr-FR"/>
              </w:rPr>
              <w:t>Impact modéré sur le service ou les activités quotidiennes.</w:t>
            </w:r>
          </w:p>
        </w:tc>
        <w:tc>
          <w:tcPr>
            <w:tcW w:w="6095" w:type="dxa"/>
            <w:tcMar>
              <w:top w:w="0" w:type="dxa"/>
              <w:left w:w="108" w:type="dxa"/>
              <w:bottom w:w="0" w:type="dxa"/>
              <w:right w:w="108" w:type="dxa"/>
            </w:tcMar>
            <w:vAlign w:val="center"/>
            <w:hideMark/>
          </w:tcPr>
          <w:p w14:paraId="001D59BD" w14:textId="77777777" w:rsidR="0049761B" w:rsidRPr="0049761B" w:rsidRDefault="00343559" w:rsidP="001B52D6">
            <w:pPr>
              <w:widowControl/>
              <w:numPr>
                <w:ilvl w:val="0"/>
                <w:numId w:val="7"/>
              </w:numPr>
              <w:spacing w:after="0" w:line="240" w:lineRule="auto"/>
              <w:rPr>
                <w:color w:val="595959"/>
                <w:sz w:val="18"/>
              </w:rPr>
            </w:pPr>
            <w:r>
              <w:rPr>
                <w:color w:val="595959"/>
                <w:sz w:val="18"/>
                <w:lang w:val="fr-FR"/>
              </w:rPr>
              <w:t xml:space="preserve">Une fonctionnalité importante n'est pas disponible mais une solution de rechange est disponible ; </w:t>
            </w:r>
            <w:proofErr w:type="gramStart"/>
            <w:r>
              <w:rPr>
                <w:color w:val="595959"/>
                <w:sz w:val="18"/>
                <w:lang w:val="fr-FR"/>
              </w:rPr>
              <w:t>ou</w:t>
            </w:r>
            <w:proofErr w:type="gramEnd"/>
          </w:p>
          <w:p w14:paraId="01084736" w14:textId="77777777" w:rsidR="00343559" w:rsidRPr="0049761B" w:rsidRDefault="00343559" w:rsidP="001B52D6">
            <w:pPr>
              <w:widowControl/>
              <w:numPr>
                <w:ilvl w:val="0"/>
                <w:numId w:val="7"/>
              </w:numPr>
              <w:spacing w:after="0" w:line="240" w:lineRule="auto"/>
              <w:rPr>
                <w:color w:val="595959"/>
                <w:sz w:val="18"/>
              </w:rPr>
            </w:pPr>
            <w:r>
              <w:rPr>
                <w:color w:val="595959"/>
                <w:sz w:val="18"/>
                <w:lang w:val="fr-FR"/>
              </w:rPr>
              <w:t xml:space="preserve">Une fonctionnalité moins importante est indisponible sans solution de rechange raisonnable ; </w:t>
            </w:r>
            <w:proofErr w:type="gramStart"/>
            <w:r>
              <w:rPr>
                <w:color w:val="595959"/>
                <w:sz w:val="18"/>
                <w:lang w:val="fr-FR"/>
              </w:rPr>
              <w:t>ou</w:t>
            </w:r>
            <w:proofErr w:type="gramEnd"/>
          </w:p>
          <w:p w14:paraId="35A081CA" w14:textId="77777777" w:rsidR="00343559" w:rsidRPr="0049761B" w:rsidRDefault="00343559" w:rsidP="001B52D6">
            <w:pPr>
              <w:widowControl/>
              <w:numPr>
                <w:ilvl w:val="0"/>
                <w:numId w:val="7"/>
              </w:numPr>
              <w:spacing w:after="0" w:line="240" w:lineRule="auto"/>
              <w:rPr>
                <w:color w:val="595959"/>
                <w:sz w:val="18"/>
              </w:rPr>
            </w:pPr>
            <w:r>
              <w:rPr>
                <w:color w:val="595959"/>
                <w:sz w:val="18"/>
                <w:lang w:val="fr-FR"/>
              </w:rPr>
              <w:t>Un problème est survenu mais l'impact sur les activités quotidiennes du Client est limité.</w:t>
            </w:r>
          </w:p>
        </w:tc>
      </w:tr>
      <w:tr w:rsidR="00343559" w:rsidRPr="0049761B" w14:paraId="22C06628" w14:textId="77777777" w:rsidTr="001011F4">
        <w:trPr>
          <w:trHeight w:val="979"/>
          <w:jc w:val="center"/>
        </w:trPr>
        <w:tc>
          <w:tcPr>
            <w:tcW w:w="1063" w:type="dxa"/>
            <w:tcMar>
              <w:top w:w="0" w:type="dxa"/>
              <w:left w:w="108" w:type="dxa"/>
              <w:bottom w:w="0" w:type="dxa"/>
              <w:right w:w="108" w:type="dxa"/>
            </w:tcMar>
            <w:vAlign w:val="center"/>
          </w:tcPr>
          <w:p w14:paraId="393F6E0A" w14:textId="77777777" w:rsidR="00343559" w:rsidRPr="0049761B" w:rsidRDefault="00343559" w:rsidP="001011F4">
            <w:pPr>
              <w:spacing w:line="240" w:lineRule="auto"/>
              <w:jc w:val="center"/>
              <w:rPr>
                <w:b/>
                <w:bCs/>
                <w:color w:val="595959"/>
                <w:sz w:val="18"/>
              </w:rPr>
            </w:pPr>
            <w:r>
              <w:rPr>
                <w:b/>
                <w:bCs/>
                <w:color w:val="595959"/>
                <w:sz w:val="18"/>
                <w:lang w:val="fr-FR"/>
              </w:rPr>
              <w:t>P4</w:t>
            </w:r>
          </w:p>
        </w:tc>
        <w:tc>
          <w:tcPr>
            <w:tcW w:w="2193" w:type="dxa"/>
            <w:vAlign w:val="center"/>
          </w:tcPr>
          <w:p w14:paraId="516D486E" w14:textId="77777777" w:rsidR="00343559" w:rsidRPr="0049761B" w:rsidRDefault="00343559" w:rsidP="001011F4">
            <w:pPr>
              <w:spacing w:line="240" w:lineRule="auto"/>
              <w:jc w:val="center"/>
              <w:rPr>
                <w:color w:val="595959"/>
                <w:sz w:val="18"/>
                <w:szCs w:val="18"/>
              </w:rPr>
            </w:pPr>
            <w:r>
              <w:rPr>
                <w:color w:val="595959" w:themeColor="text1" w:themeTint="A6"/>
                <w:sz w:val="18"/>
                <w:szCs w:val="18"/>
                <w:lang w:val="fr-FR"/>
              </w:rPr>
              <w:t xml:space="preserve"> </w:t>
            </w:r>
            <w:r>
              <w:rPr>
                <w:b/>
                <w:bCs/>
                <w:color w:val="595959" w:themeColor="text1" w:themeTint="A6"/>
                <w:sz w:val="18"/>
                <w:szCs w:val="18"/>
                <w:lang w:val="fr-FR"/>
              </w:rPr>
              <w:t>Aucun impact</w:t>
            </w:r>
            <w:r>
              <w:rPr>
                <w:color w:val="595959" w:themeColor="text1" w:themeTint="A6"/>
                <w:sz w:val="18"/>
                <w:szCs w:val="18"/>
                <w:lang w:val="fr-FR"/>
              </w:rPr>
              <w:t xml:space="preserve"> sur le service ou les activités quotidiennes.</w:t>
            </w:r>
          </w:p>
        </w:tc>
        <w:tc>
          <w:tcPr>
            <w:tcW w:w="6095" w:type="dxa"/>
            <w:tcMar>
              <w:top w:w="0" w:type="dxa"/>
              <w:left w:w="108" w:type="dxa"/>
              <w:bottom w:w="0" w:type="dxa"/>
              <w:right w:w="108" w:type="dxa"/>
            </w:tcMar>
            <w:vAlign w:val="center"/>
          </w:tcPr>
          <w:p w14:paraId="688072C9" w14:textId="77777777" w:rsidR="00343559" w:rsidRPr="0049761B" w:rsidRDefault="00343559" w:rsidP="001011F4">
            <w:pPr>
              <w:spacing w:line="240" w:lineRule="auto"/>
              <w:rPr>
                <w:color w:val="595959"/>
                <w:sz w:val="18"/>
                <w:szCs w:val="18"/>
              </w:rPr>
            </w:pPr>
            <w:r>
              <w:rPr>
                <w:color w:val="595959" w:themeColor="text1" w:themeTint="A6"/>
                <w:sz w:val="18"/>
                <w:szCs w:val="18"/>
                <w:lang w:val="fr-FR"/>
              </w:rPr>
              <w:t xml:space="preserve">Aucun impact sur le service ou les activités quotidiennes du Client. </w:t>
            </w:r>
          </w:p>
        </w:tc>
      </w:tr>
    </w:tbl>
    <w:p w14:paraId="4A1BDDE7" w14:textId="77777777" w:rsidR="0049761B" w:rsidRDefault="0049761B" w:rsidP="0049761B">
      <w:pPr>
        <w:pStyle w:val="Caption"/>
        <w:spacing w:after="0"/>
        <w:jc w:val="center"/>
      </w:pPr>
    </w:p>
    <w:p w14:paraId="2A1CCACD" w14:textId="77777777" w:rsidR="00343559" w:rsidRPr="0049761B" w:rsidRDefault="00343559" w:rsidP="00343559">
      <w:pPr>
        <w:pStyle w:val="Caption"/>
        <w:jc w:val="center"/>
      </w:pPr>
      <w:r>
        <w:t xml:space="preserve">Figure </w:t>
      </w:r>
      <w:fldSimple w:instr=" SEQ Figure \* ARABIC  \* MERGEFORMAT ">
        <w:r>
          <w:rPr>
            <w:noProof/>
          </w:rPr>
          <w:t>2</w:t>
        </w:r>
      </w:fldSimple>
      <w:r>
        <w:t> : Priorité de l'incident</w:t>
      </w:r>
    </w:p>
    <w:p w14:paraId="2D9CD2D2" w14:textId="77777777" w:rsidR="00343559" w:rsidRPr="0049761B" w:rsidRDefault="00343559" w:rsidP="00343559"/>
    <w:tbl>
      <w:tblPr>
        <w:tblW w:w="0" w:type="auto"/>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5120"/>
        <w:gridCol w:w="4252"/>
      </w:tblGrid>
      <w:tr w:rsidR="00954D02" w:rsidRPr="0049761B" w14:paraId="34CC76AD" w14:textId="77777777" w:rsidTr="00AC7E5D">
        <w:trPr>
          <w:trHeight w:val="620"/>
          <w:jc w:val="center"/>
        </w:trPr>
        <w:tc>
          <w:tcPr>
            <w:tcW w:w="5120" w:type="dxa"/>
            <w:tcMar>
              <w:top w:w="0" w:type="dxa"/>
              <w:left w:w="108" w:type="dxa"/>
              <w:bottom w:w="0" w:type="dxa"/>
              <w:right w:w="108" w:type="dxa"/>
            </w:tcMar>
            <w:vAlign w:val="center"/>
            <w:hideMark/>
          </w:tcPr>
          <w:p w14:paraId="74508C8A" w14:textId="77777777" w:rsidR="00954D02" w:rsidRPr="0049761B" w:rsidRDefault="00954D02" w:rsidP="001011F4">
            <w:pPr>
              <w:spacing w:line="240" w:lineRule="auto"/>
              <w:jc w:val="center"/>
              <w:rPr>
                <w:b/>
                <w:color w:val="00A6D4"/>
              </w:rPr>
            </w:pPr>
          </w:p>
        </w:tc>
        <w:tc>
          <w:tcPr>
            <w:tcW w:w="4252" w:type="dxa"/>
            <w:vAlign w:val="center"/>
          </w:tcPr>
          <w:p w14:paraId="512C8A8F" w14:textId="77777777" w:rsidR="00954D02" w:rsidRPr="0049761B" w:rsidRDefault="00954D02" w:rsidP="001011F4">
            <w:pPr>
              <w:spacing w:line="240" w:lineRule="auto"/>
              <w:jc w:val="center"/>
              <w:rPr>
                <w:b/>
                <w:color w:val="00A6D4"/>
              </w:rPr>
            </w:pPr>
            <w:r>
              <w:rPr>
                <w:rFonts w:cs="Tahoma"/>
                <w:b/>
                <w:bCs/>
                <w:color w:val="00A6D4"/>
                <w:lang w:val="fr-FR"/>
              </w:rPr>
              <w:t>SLA standard</w:t>
            </w:r>
          </w:p>
        </w:tc>
      </w:tr>
      <w:tr w:rsidR="00954D02" w:rsidRPr="0049761B" w14:paraId="7194FF6B" w14:textId="77777777" w:rsidTr="00AC7E5D">
        <w:trPr>
          <w:trHeight w:val="620"/>
          <w:jc w:val="center"/>
        </w:trPr>
        <w:tc>
          <w:tcPr>
            <w:tcW w:w="5120" w:type="dxa"/>
            <w:tcMar>
              <w:top w:w="0" w:type="dxa"/>
              <w:left w:w="108" w:type="dxa"/>
              <w:bottom w:w="0" w:type="dxa"/>
              <w:right w:w="108" w:type="dxa"/>
            </w:tcMar>
            <w:vAlign w:val="center"/>
          </w:tcPr>
          <w:p w14:paraId="22F1A5D0" w14:textId="77777777" w:rsidR="00954D02" w:rsidRPr="0049761B" w:rsidRDefault="00954D02" w:rsidP="001011F4">
            <w:pPr>
              <w:spacing w:line="240" w:lineRule="auto"/>
              <w:jc w:val="left"/>
              <w:rPr>
                <w:b/>
                <w:color w:val="595959"/>
                <w:sz w:val="18"/>
                <w:szCs w:val="18"/>
              </w:rPr>
            </w:pPr>
            <w:r>
              <w:rPr>
                <w:b/>
                <w:bCs/>
                <w:color w:val="595959"/>
                <w:sz w:val="18"/>
                <w:szCs w:val="18"/>
                <w:lang w:val="fr-FR"/>
              </w:rPr>
              <w:t>Fenêtre de service</w:t>
            </w:r>
          </w:p>
        </w:tc>
        <w:tc>
          <w:tcPr>
            <w:tcW w:w="4252" w:type="dxa"/>
            <w:vAlign w:val="center"/>
          </w:tcPr>
          <w:p w14:paraId="2B72E3AC" w14:textId="77777777" w:rsidR="00954D02" w:rsidRPr="0049761B" w:rsidRDefault="00AC7E5D" w:rsidP="001011F4">
            <w:pPr>
              <w:spacing w:line="240" w:lineRule="auto"/>
              <w:jc w:val="center"/>
              <w:rPr>
                <w:rFonts w:cs="Tahoma"/>
                <w:b/>
                <w:bCs/>
                <w:color w:val="00A6D4"/>
                <w:sz w:val="16"/>
                <w:szCs w:val="16"/>
              </w:rPr>
            </w:pPr>
            <w:r>
              <w:rPr>
                <w:lang w:val="fr-FR"/>
              </w:rPr>
              <w:t>Du lundi au vendredi (jours ouvrables) de 7 h à 19 h</w:t>
            </w:r>
          </w:p>
        </w:tc>
      </w:tr>
      <w:tr w:rsidR="00954D02" w:rsidRPr="0049761B" w14:paraId="5F2BA982" w14:textId="77777777" w:rsidTr="00AC7E5D">
        <w:trPr>
          <w:trHeight w:val="1100"/>
          <w:jc w:val="center"/>
        </w:trPr>
        <w:tc>
          <w:tcPr>
            <w:tcW w:w="5120" w:type="dxa"/>
            <w:tcMar>
              <w:top w:w="0" w:type="dxa"/>
              <w:left w:w="108" w:type="dxa"/>
              <w:bottom w:w="0" w:type="dxa"/>
              <w:right w:w="108" w:type="dxa"/>
            </w:tcMar>
            <w:vAlign w:val="center"/>
            <w:hideMark/>
          </w:tcPr>
          <w:p w14:paraId="7C17A613" w14:textId="77777777" w:rsidR="00954D02" w:rsidRPr="0049761B" w:rsidRDefault="00954D02" w:rsidP="001011F4">
            <w:pPr>
              <w:spacing w:line="240" w:lineRule="auto"/>
              <w:jc w:val="left"/>
              <w:rPr>
                <w:color w:val="595959"/>
                <w:sz w:val="18"/>
                <w:szCs w:val="18"/>
              </w:rPr>
            </w:pPr>
            <w:r>
              <w:rPr>
                <w:b/>
                <w:bCs/>
                <w:color w:val="595959"/>
                <w:sz w:val="18"/>
                <w:szCs w:val="18"/>
                <w:lang w:val="fr-FR"/>
              </w:rPr>
              <w:t>Priorité 1 à 4</w:t>
            </w:r>
            <w:r>
              <w:rPr>
                <w:color w:val="595959"/>
                <w:sz w:val="18"/>
                <w:szCs w:val="18"/>
                <w:lang w:val="fr-FR"/>
              </w:rPr>
              <w:br/>
              <w:t>Délai de réparation</w:t>
            </w:r>
            <w:r>
              <w:rPr>
                <w:sz w:val="18"/>
                <w:szCs w:val="18"/>
                <w:lang w:val="fr-FR"/>
              </w:rPr>
              <w:t xml:space="preserve"> ou Délai d'intervention</w:t>
            </w:r>
            <w:r>
              <w:rPr>
                <w:color w:val="595959"/>
                <w:sz w:val="18"/>
                <w:szCs w:val="18"/>
                <w:lang w:val="fr-FR"/>
              </w:rPr>
              <w:t xml:space="preserve"> </w:t>
            </w:r>
            <w:r>
              <w:rPr>
                <w:color w:val="595959"/>
                <w:sz w:val="18"/>
                <w:szCs w:val="18"/>
                <w:lang w:val="fr-FR"/>
              </w:rPr>
              <w:br/>
              <w:t>Cycle de mise à jour</w:t>
            </w:r>
          </w:p>
        </w:tc>
        <w:tc>
          <w:tcPr>
            <w:tcW w:w="4252" w:type="dxa"/>
            <w:vAlign w:val="center"/>
          </w:tcPr>
          <w:p w14:paraId="324B30FF" w14:textId="77777777" w:rsidR="00954D02" w:rsidRPr="0049761B" w:rsidRDefault="00954D02" w:rsidP="001011F4">
            <w:pPr>
              <w:spacing w:line="240" w:lineRule="auto"/>
              <w:jc w:val="center"/>
              <w:rPr>
                <w:color w:val="595959"/>
                <w:sz w:val="18"/>
                <w:szCs w:val="18"/>
              </w:rPr>
            </w:pPr>
            <w:r>
              <w:rPr>
                <w:color w:val="595959"/>
                <w:sz w:val="18"/>
                <w:szCs w:val="18"/>
                <w:lang w:val="fr-FR"/>
              </w:rPr>
              <w:t>Best effort</w:t>
            </w:r>
          </w:p>
          <w:p w14:paraId="09A3777D" w14:textId="77777777" w:rsidR="00954D02" w:rsidRPr="0049761B" w:rsidRDefault="00954D02" w:rsidP="001011F4">
            <w:pPr>
              <w:spacing w:line="240" w:lineRule="auto"/>
              <w:jc w:val="center"/>
              <w:rPr>
                <w:rFonts w:cs="Tahoma"/>
                <w:color w:val="595959"/>
                <w:sz w:val="18"/>
                <w:szCs w:val="18"/>
              </w:rPr>
            </w:pPr>
            <w:r>
              <w:rPr>
                <w:rFonts w:cs="Tahoma"/>
                <w:color w:val="595959"/>
                <w:sz w:val="18"/>
                <w:szCs w:val="18"/>
                <w:lang w:val="fr-FR"/>
              </w:rPr>
              <w:t>N/A</w:t>
            </w:r>
          </w:p>
        </w:tc>
      </w:tr>
    </w:tbl>
    <w:p w14:paraId="2912DBC9" w14:textId="77777777" w:rsidR="0049761B" w:rsidRDefault="0049761B" w:rsidP="0049761B">
      <w:pPr>
        <w:pStyle w:val="Caption"/>
        <w:spacing w:after="0"/>
        <w:jc w:val="center"/>
      </w:pPr>
    </w:p>
    <w:p w14:paraId="538675A6" w14:textId="77777777" w:rsidR="00343559" w:rsidRPr="0049761B" w:rsidRDefault="00343559" w:rsidP="00343559">
      <w:pPr>
        <w:pStyle w:val="Caption"/>
        <w:jc w:val="center"/>
      </w:pPr>
      <w:r>
        <w:t xml:space="preserve">Figure </w:t>
      </w:r>
      <w:fldSimple w:instr=" SEQ Figure \* ARABIC  \* MERGEFORMAT ">
        <w:r>
          <w:rPr>
            <w:noProof/>
          </w:rPr>
          <w:t>3</w:t>
        </w:r>
      </w:fldSimple>
      <w:r>
        <w:t> : Niveau de service</w:t>
      </w:r>
    </w:p>
    <w:p w14:paraId="685C5405" w14:textId="77777777" w:rsidR="00722573" w:rsidRPr="0049761B" w:rsidRDefault="00722573" w:rsidP="00343559">
      <w:pPr>
        <w:pStyle w:val="Heading1"/>
        <w:numPr>
          <w:ilvl w:val="0"/>
          <w:numId w:val="0"/>
        </w:numPr>
        <w:ind w:left="567"/>
        <w:jc w:val="center"/>
      </w:pPr>
    </w:p>
    <w:p w14:paraId="3910212E" w14:textId="77777777" w:rsidR="0049761B" w:rsidRDefault="0049761B" w:rsidP="00343559">
      <w:pPr>
        <w:pStyle w:val="Heading1"/>
        <w:numPr>
          <w:ilvl w:val="0"/>
          <w:numId w:val="0"/>
        </w:numPr>
        <w:ind w:left="567"/>
        <w:jc w:val="center"/>
      </w:pPr>
    </w:p>
    <w:p w14:paraId="3AD5A1A0" w14:textId="77777777" w:rsidR="00905E58" w:rsidRPr="0049761B" w:rsidRDefault="00905E58" w:rsidP="00343559">
      <w:pPr>
        <w:pStyle w:val="Heading1"/>
        <w:numPr>
          <w:ilvl w:val="0"/>
          <w:numId w:val="0"/>
        </w:numPr>
        <w:ind w:left="567"/>
        <w:jc w:val="center"/>
      </w:pPr>
    </w:p>
    <w:p w14:paraId="30A64EA4" w14:textId="77777777" w:rsidR="00343559" w:rsidRPr="0049761B" w:rsidRDefault="00343559" w:rsidP="00343559">
      <w:pPr>
        <w:pStyle w:val="Heading1"/>
        <w:numPr>
          <w:ilvl w:val="0"/>
          <w:numId w:val="0"/>
        </w:numPr>
        <w:ind w:left="567"/>
        <w:jc w:val="center"/>
      </w:pPr>
      <w:r>
        <w:rPr>
          <w:lang w:val="fr-FR"/>
        </w:rPr>
        <w:t>ANNEXE – Description spécifique du traitement des données personnelles</w:t>
      </w:r>
    </w:p>
    <w:p w14:paraId="7723C969" w14:textId="77777777" w:rsidR="00343559" w:rsidRPr="0049761B" w:rsidRDefault="00343559" w:rsidP="00131A98">
      <w:pPr>
        <w:spacing w:after="0"/>
        <w:rPr>
          <w:spacing w:val="-4"/>
        </w:rPr>
      </w:pPr>
      <w:r>
        <w:rPr>
          <w:lang w:val="fr-FR"/>
        </w:rPr>
        <w:t>Le Traitement des Données personnelles aux fins de l'exécution du présent contrat s’effectue conformément à :</w:t>
      </w:r>
    </w:p>
    <w:p w14:paraId="32F2A733" w14:textId="77777777" w:rsidR="00343559" w:rsidRPr="0049761B" w:rsidRDefault="00C747BD" w:rsidP="00131A98">
      <w:pPr>
        <w:pStyle w:val="bullet2"/>
        <w:spacing w:after="0"/>
        <w:ind w:left="993"/>
      </w:pPr>
      <w:proofErr w:type="gramStart"/>
      <w:r>
        <w:rPr>
          <w:rStyle w:val="tlid-translation"/>
          <w:lang w:val="fr-FR"/>
        </w:rPr>
        <w:t>les</w:t>
      </w:r>
      <w:proofErr w:type="gramEnd"/>
      <w:r>
        <w:rPr>
          <w:rStyle w:val="tlid-translation"/>
          <w:lang w:val="fr-FR"/>
        </w:rPr>
        <w:t xml:space="preserve"> Conditions générales ;</w:t>
      </w:r>
    </w:p>
    <w:p w14:paraId="2205124A" w14:textId="77777777" w:rsidR="00343559" w:rsidRPr="0049761B" w:rsidRDefault="00343559" w:rsidP="00131A98">
      <w:pPr>
        <w:pStyle w:val="bullet2"/>
        <w:spacing w:after="0"/>
        <w:ind w:left="993"/>
      </w:pPr>
      <w:proofErr w:type="gramStart"/>
      <w:r>
        <w:rPr>
          <w:rStyle w:val="tlid-translation"/>
          <w:lang w:val="fr-FR"/>
        </w:rPr>
        <w:t>l’Avis</w:t>
      </w:r>
      <w:proofErr w:type="gramEnd"/>
      <w:r>
        <w:rPr>
          <w:rStyle w:val="tlid-translation"/>
          <w:lang w:val="fr-FR"/>
        </w:rPr>
        <w:t xml:space="preserve"> sur les Données personnelles pour les Clients professionnels – Description générale, disponible à l’adresse https://business.post.lu/fr/particuliers/conditions-des-offres ; et</w:t>
      </w:r>
    </w:p>
    <w:p w14:paraId="379B74A7" w14:textId="77777777" w:rsidR="00343559" w:rsidRPr="0049761B" w:rsidRDefault="00343559" w:rsidP="00131A98">
      <w:pPr>
        <w:pStyle w:val="bullet2"/>
        <w:spacing w:after="0"/>
        <w:ind w:left="993"/>
      </w:pPr>
      <w:proofErr w:type="gramStart"/>
      <w:r>
        <w:rPr>
          <w:rStyle w:val="tlid-translation"/>
          <w:lang w:val="fr-FR"/>
        </w:rPr>
        <w:t>la</w:t>
      </w:r>
      <w:proofErr w:type="gramEnd"/>
      <w:r>
        <w:rPr>
          <w:rStyle w:val="tlid-translation"/>
          <w:lang w:val="fr-FR"/>
        </w:rPr>
        <w:t xml:space="preserve"> présente description spécifique du Traitement des Données personnelles.</w:t>
      </w:r>
    </w:p>
    <w:p w14:paraId="61D7075A" w14:textId="77777777" w:rsidR="00343559" w:rsidRPr="0049761B" w:rsidRDefault="00343559" w:rsidP="00343559">
      <w:pPr>
        <w:rPr>
          <w:spacing w:val="-4"/>
        </w:rPr>
      </w:pPr>
      <w:r>
        <w:rPr>
          <w:lang w:val="fr-FR"/>
        </w:rPr>
        <w:t>Aux fins de la présente Annexe, les mots commençant par une majuscule ont la signification qui leur est donnée dans l</w:t>
      </w:r>
      <w:proofErr w:type="gramStart"/>
      <w:r>
        <w:rPr>
          <w:lang w:val="fr-FR"/>
        </w:rPr>
        <w:t>’«</w:t>
      </w:r>
      <w:proofErr w:type="gramEnd"/>
      <w:r>
        <w:rPr>
          <w:lang w:val="fr-FR"/>
        </w:rPr>
        <w:t> Avis sur les Données personnelles pour les Clients professionnels ».</w:t>
      </w:r>
    </w:p>
    <w:p w14:paraId="1141FBFD" w14:textId="77777777" w:rsidR="00343559" w:rsidRPr="0049761B" w:rsidRDefault="00343559" w:rsidP="00343559">
      <w:pPr>
        <w:rPr>
          <w:spacing w:val="-4"/>
        </w:rPr>
      </w:pPr>
      <w:r>
        <w:rPr>
          <w:lang w:val="fr-FR"/>
        </w:rPr>
        <w:t>La présente Description spécifique expose les Instructions que le Client, en tant que Responsable du traitement, soumet à POST Telecom, en tant que Sous-traitant, concernant le Traitement des Données personnelles que POST Telecom (et, le cas échéant, les Sous-traitants suivants) doit effectuer dans le cadre de l'exécution des Services souscrits par le Client.</w:t>
      </w:r>
    </w:p>
    <w:p w14:paraId="2B6CC8CA" w14:textId="77777777" w:rsidR="00C747BD" w:rsidRPr="0049761B" w:rsidRDefault="00343559" w:rsidP="00FA5B56">
      <w:pPr>
        <w:pStyle w:val="bullet2"/>
        <w:spacing w:after="240"/>
        <w:ind w:left="426" w:hanging="426"/>
        <w:rPr>
          <w:b/>
          <w:bCs/>
        </w:rPr>
      </w:pPr>
      <w:r>
        <w:rPr>
          <w:lang w:val="fr-FR"/>
        </w:rPr>
        <w:t xml:space="preserve">Le Sous-traitant traite les Données personnelles pour le compte du Responsable du traitement afin de fournir les Services suivants : le </w:t>
      </w:r>
      <w:r>
        <w:rPr>
          <w:b/>
          <w:bCs/>
          <w:lang w:val="fr-FR"/>
        </w:rPr>
        <w:t>service de relais de messagerie électronique sécurisé</w:t>
      </w:r>
      <w:r>
        <w:rPr>
          <w:lang w:val="fr-FR"/>
        </w:rPr>
        <w:t xml:space="preserve"> décrit dans le présent document.</w:t>
      </w:r>
    </w:p>
    <w:p w14:paraId="075FC9D9" w14:textId="77777777" w:rsidR="0049761B" w:rsidRPr="0049761B" w:rsidRDefault="00343559" w:rsidP="00343559">
      <w:pPr>
        <w:pStyle w:val="bullet2"/>
        <w:ind w:left="357"/>
      </w:pPr>
      <w:r>
        <w:rPr>
          <w:lang w:val="fr-FR"/>
        </w:rPr>
        <w:t>La personne de contact auprès du Sous-traitant ou du DPO est :</w:t>
      </w:r>
    </w:p>
    <w:p w14:paraId="00CF42DB" w14:textId="77777777" w:rsidR="00C747BD" w:rsidRPr="0049761B" w:rsidRDefault="00343559" w:rsidP="00343559">
      <w:pPr>
        <w:spacing w:after="240"/>
        <w:ind w:left="567"/>
        <w:rPr>
          <w:rFonts w:cs="Tahoma"/>
          <w:color w:val="595959"/>
          <w:szCs w:val="18"/>
        </w:rPr>
      </w:pPr>
      <w:r>
        <w:rPr>
          <w:lang w:val="fr-FR"/>
        </w:rPr>
        <w:t xml:space="preserve">POST Luxembourg, DPO, 38 place de la Gare, L-1616 Luxembourg | </w:t>
      </w:r>
      <w:proofErr w:type="gramStart"/>
      <w:r>
        <w:rPr>
          <w:lang w:val="fr-FR"/>
        </w:rPr>
        <w:t>E-mail</w:t>
      </w:r>
      <w:proofErr w:type="gramEnd"/>
      <w:r>
        <w:rPr>
          <w:lang w:val="fr-FR"/>
        </w:rPr>
        <w:t> :</w:t>
      </w:r>
      <w:r>
        <w:rPr>
          <w:color w:val="595959"/>
          <w:szCs w:val="18"/>
          <w:lang w:val="fr-FR"/>
        </w:rPr>
        <w:t xml:space="preserve"> </w:t>
      </w:r>
      <w:hyperlink r:id="rId21" w:history="1">
        <w:r>
          <w:rPr>
            <w:rStyle w:val="Hyperlink"/>
            <w:rFonts w:cs="Tahoma"/>
            <w:szCs w:val="18"/>
            <w:lang w:val="fr-FR"/>
          </w:rPr>
          <w:t>privacy@post.lu</w:t>
        </w:r>
      </w:hyperlink>
    </w:p>
    <w:p w14:paraId="2A4487CD" w14:textId="77777777" w:rsidR="0049761B" w:rsidRPr="0049761B" w:rsidRDefault="00343559" w:rsidP="00343559">
      <w:pPr>
        <w:pStyle w:val="bullet2"/>
        <w:ind w:left="357"/>
      </w:pPr>
      <w:r>
        <w:rPr>
          <w:lang w:val="fr-FR"/>
        </w:rPr>
        <w:t>Les activités de Traitement des données effectuées par le Sous-traitant sont les suivantes :</w:t>
      </w:r>
    </w:p>
    <w:p w14:paraId="221A9ED0" w14:textId="77777777" w:rsidR="00343559" w:rsidRPr="0049761B" w:rsidRDefault="0066472D" w:rsidP="000037E0">
      <w:pPr>
        <w:widowControl/>
        <w:spacing w:line="259" w:lineRule="auto"/>
        <w:ind w:left="567"/>
        <w:contextualSpacing/>
        <w:jc w:val="left"/>
        <w:rPr>
          <w:b/>
          <w:bCs/>
          <w:spacing w:val="-4"/>
          <w:highlight w:val="green"/>
        </w:rPr>
      </w:pPr>
      <w:r>
        <w:rPr>
          <w:b/>
          <w:bCs/>
          <w:lang w:val="fr-FR"/>
        </w:rPr>
        <w:t>Stockage, consultation, effacement ou destruction</w:t>
      </w:r>
    </w:p>
    <w:p w14:paraId="724B60A6" w14:textId="77777777" w:rsidR="0049761B" w:rsidRPr="0049761B" w:rsidRDefault="00343559" w:rsidP="00343559">
      <w:pPr>
        <w:pStyle w:val="bullet2"/>
        <w:ind w:left="357"/>
      </w:pPr>
      <w:r>
        <w:rPr>
          <w:lang w:val="fr-FR"/>
        </w:rPr>
        <w:t>La ou les finalité(s) du Traitement est (sont) :</w:t>
      </w:r>
    </w:p>
    <w:p w14:paraId="50C7A2A6" w14:textId="77777777" w:rsidR="00343559" w:rsidRPr="0049761B" w:rsidRDefault="00343559" w:rsidP="00FA5B56">
      <w:pPr>
        <w:spacing w:after="0"/>
        <w:ind w:left="567"/>
        <w:rPr>
          <w:spacing w:val="-4"/>
        </w:rPr>
      </w:pPr>
      <w:r>
        <w:rPr>
          <w:lang w:val="fr-FR"/>
        </w:rPr>
        <w:t>Le Sous-traitant peut traiter les données conformément aux objectifs énoncés dans le présent Avenant et, d’une manière générale :</w:t>
      </w:r>
    </w:p>
    <w:p w14:paraId="15B7908D" w14:textId="77777777" w:rsidR="00343559" w:rsidRPr="0049761B" w:rsidRDefault="00343559" w:rsidP="001B52D6">
      <w:pPr>
        <w:pStyle w:val="bullet2"/>
        <w:numPr>
          <w:ilvl w:val="0"/>
          <w:numId w:val="9"/>
        </w:numPr>
        <w:spacing w:after="0"/>
        <w:ind w:left="1418"/>
      </w:pPr>
      <w:proofErr w:type="gramStart"/>
      <w:r>
        <w:rPr>
          <w:lang w:val="fr-FR"/>
        </w:rPr>
        <w:t>pour</w:t>
      </w:r>
      <w:proofErr w:type="gramEnd"/>
      <w:r>
        <w:rPr>
          <w:lang w:val="fr-FR"/>
        </w:rPr>
        <w:t xml:space="preserve"> fournir les services requis au Responsable du traitement,</w:t>
      </w:r>
    </w:p>
    <w:p w14:paraId="3E312752" w14:textId="77777777" w:rsidR="00343559" w:rsidRPr="0049761B" w:rsidRDefault="00343559" w:rsidP="001B52D6">
      <w:pPr>
        <w:pStyle w:val="bullet2"/>
        <w:numPr>
          <w:ilvl w:val="0"/>
          <w:numId w:val="9"/>
        </w:numPr>
        <w:spacing w:after="0"/>
        <w:ind w:left="1418"/>
      </w:pPr>
      <w:proofErr w:type="gramStart"/>
      <w:r>
        <w:rPr>
          <w:lang w:val="fr-FR"/>
        </w:rPr>
        <w:t>dans</w:t>
      </w:r>
      <w:proofErr w:type="gramEnd"/>
      <w:r>
        <w:rPr>
          <w:lang w:val="fr-FR"/>
        </w:rPr>
        <w:t xml:space="preserve"> le but de détecter, prévenir et atténuer la fraude,</w:t>
      </w:r>
    </w:p>
    <w:p w14:paraId="7EBE542B" w14:textId="77777777" w:rsidR="00343559" w:rsidRPr="0049761B" w:rsidRDefault="00343559" w:rsidP="00FA5B56">
      <w:pPr>
        <w:pStyle w:val="bullet2"/>
        <w:numPr>
          <w:ilvl w:val="0"/>
          <w:numId w:val="9"/>
        </w:numPr>
        <w:spacing w:after="0"/>
        <w:ind w:left="1418"/>
      </w:pPr>
      <w:proofErr w:type="gramStart"/>
      <w:r>
        <w:rPr>
          <w:lang w:val="fr-FR"/>
        </w:rPr>
        <w:t>pour</w:t>
      </w:r>
      <w:proofErr w:type="gramEnd"/>
      <w:r>
        <w:rPr>
          <w:lang w:val="fr-FR"/>
        </w:rPr>
        <w:t xml:space="preserve"> offrir, maintenir et améliorer les services.</w:t>
      </w:r>
    </w:p>
    <w:p w14:paraId="66AFFE97" w14:textId="77777777" w:rsidR="00D577F5" w:rsidRPr="0049761B" w:rsidRDefault="00D577F5" w:rsidP="00D577F5">
      <w:pPr>
        <w:pStyle w:val="bullet2"/>
        <w:numPr>
          <w:ilvl w:val="0"/>
          <w:numId w:val="0"/>
        </w:numPr>
        <w:spacing w:after="0"/>
        <w:ind w:left="1418"/>
      </w:pPr>
    </w:p>
    <w:p w14:paraId="08C6C232" w14:textId="77777777" w:rsidR="0049761B" w:rsidRPr="0049761B" w:rsidRDefault="00343559" w:rsidP="00D577F5">
      <w:pPr>
        <w:pStyle w:val="bullet2"/>
        <w:ind w:left="357"/>
      </w:pPr>
      <w:r>
        <w:rPr>
          <w:lang w:val="fr-FR"/>
        </w:rPr>
        <w:t>Les Données ou catégories de Données traitées sont les suivantes :</w:t>
      </w:r>
    </w:p>
    <w:p w14:paraId="4C14BBC0" w14:textId="77777777" w:rsidR="0049761B" w:rsidRPr="0049761B" w:rsidRDefault="00343559" w:rsidP="00343559">
      <w:pPr>
        <w:widowControl/>
        <w:spacing w:line="259" w:lineRule="auto"/>
        <w:ind w:left="567"/>
        <w:contextualSpacing/>
        <w:jc w:val="left"/>
        <w:rPr>
          <w:b/>
          <w:bCs/>
          <w:spacing w:val="-4"/>
        </w:rPr>
      </w:pPr>
      <w:proofErr w:type="gramStart"/>
      <w:r>
        <w:rPr>
          <w:b/>
          <w:bCs/>
          <w:lang w:val="fr-FR"/>
        </w:rPr>
        <w:t>données</w:t>
      </w:r>
      <w:proofErr w:type="gramEnd"/>
      <w:r>
        <w:rPr>
          <w:b/>
          <w:bCs/>
          <w:lang w:val="fr-FR"/>
        </w:rPr>
        <w:t xml:space="preserve"> d'identification standard, données d'identification électroniques, données d'authentification</w:t>
      </w:r>
    </w:p>
    <w:p w14:paraId="52738872" w14:textId="77777777" w:rsidR="0049761B" w:rsidRPr="0049761B" w:rsidRDefault="00343559" w:rsidP="00343559">
      <w:pPr>
        <w:pStyle w:val="bullet2"/>
        <w:ind w:left="357"/>
      </w:pPr>
      <w:r>
        <w:rPr>
          <w:lang w:val="fr-FR"/>
        </w:rPr>
        <w:t>Les catégories de Personnes concernées sont les suivantes :</w:t>
      </w:r>
    </w:p>
    <w:p w14:paraId="35465322" w14:textId="77777777" w:rsidR="00343559" w:rsidRPr="0049761B" w:rsidRDefault="00343559" w:rsidP="00343559">
      <w:pPr>
        <w:spacing w:after="240"/>
        <w:ind w:left="567"/>
        <w:rPr>
          <w:rFonts w:eastAsia="Lucida Sans Unicode" w:cs="Tahoma"/>
          <w:color w:val="595959"/>
          <w:sz w:val="18"/>
          <w:szCs w:val="16"/>
          <w:u w:val="single"/>
        </w:rPr>
      </w:pPr>
      <w:r>
        <w:rPr>
          <w:lang w:val="fr-FR"/>
        </w:rPr>
        <w:t>Les Personnes concernées sont les individus dont les données sont traitées par le Sous-traitant et peuvent inclure des Utilisateurs finaux, des Clients ou des Employés du Responsable du traitement.</w:t>
      </w:r>
    </w:p>
    <w:p w14:paraId="65F01165" w14:textId="77777777" w:rsidR="00343559" w:rsidRPr="0049761B" w:rsidRDefault="00343559" w:rsidP="00FC710A">
      <w:pPr>
        <w:pStyle w:val="bullet2"/>
        <w:ind w:left="357"/>
      </w:pPr>
      <w:r>
        <w:rPr>
          <w:lang w:val="fr-FR"/>
        </w:rPr>
        <w:t xml:space="preserve">Le Traitement est géographiquement localisé : </w:t>
      </w:r>
      <w:r>
        <w:rPr>
          <w:b/>
          <w:bCs/>
          <w:lang w:val="fr-FR"/>
        </w:rPr>
        <w:t>Luxembourg</w:t>
      </w:r>
      <w:r>
        <w:rPr>
          <w:lang w:val="fr-FR"/>
        </w:rPr>
        <w:t>.</w:t>
      </w:r>
    </w:p>
    <w:p w14:paraId="45D84BEC" w14:textId="77777777" w:rsidR="00343559" w:rsidRPr="0049761B" w:rsidRDefault="00343559" w:rsidP="00343559">
      <w:pPr>
        <w:pStyle w:val="bullet2"/>
        <w:ind w:left="357"/>
      </w:pPr>
      <w:r>
        <w:rPr>
          <w:lang w:val="fr-FR"/>
        </w:rPr>
        <w:t xml:space="preserve">Les Données traitées sont conservées pendant la durée suivante : </w:t>
      </w:r>
      <w:r>
        <w:rPr>
          <w:b/>
          <w:bCs/>
          <w:lang w:val="fr-FR"/>
        </w:rPr>
        <w:t>6 mois</w:t>
      </w:r>
    </w:p>
    <w:p w14:paraId="15E57CB8" w14:textId="77777777" w:rsidR="00343559" w:rsidRPr="0049761B" w:rsidRDefault="00343559" w:rsidP="00343559">
      <w:pPr>
        <w:pStyle w:val="bullet2"/>
        <w:ind w:left="357"/>
      </w:pPr>
      <w:r>
        <w:rPr>
          <w:lang w:val="fr-FR"/>
        </w:rPr>
        <w:t>Les catégories de sous-traitants secondaires impliqués dans le Traitement des données sont les suivantes :</w:t>
      </w:r>
    </w:p>
    <w:p w14:paraId="1FEE6C79" w14:textId="77777777" w:rsidR="0049761B" w:rsidRPr="0049761B" w:rsidRDefault="00343559" w:rsidP="00FC710A">
      <w:pPr>
        <w:spacing w:after="0"/>
        <w:ind w:left="567"/>
        <w:rPr>
          <w:spacing w:val="-4"/>
        </w:rPr>
      </w:pPr>
      <w:r>
        <w:rPr>
          <w:lang w:val="fr-FR"/>
        </w:rPr>
        <w:t>Dans le cadre des activités de POST Telecom et dans les limites des finalités décrites ci-dessus, les Données peuvent être fournies par ou disponibles auprès de :</w:t>
      </w:r>
    </w:p>
    <w:p w14:paraId="18C41854" w14:textId="77777777" w:rsidR="00343559" w:rsidRPr="0049761B" w:rsidRDefault="00343559" w:rsidP="001B52D6">
      <w:pPr>
        <w:pStyle w:val="bullet2"/>
        <w:numPr>
          <w:ilvl w:val="0"/>
          <w:numId w:val="9"/>
        </w:numPr>
        <w:spacing w:after="0"/>
        <w:ind w:left="1418"/>
      </w:pPr>
      <w:r>
        <w:rPr>
          <w:lang w:val="fr-FR"/>
        </w:rPr>
        <w:t>Fournisseurs de services informatiques et de télécommunication (installation, dépannage) ;</w:t>
      </w:r>
    </w:p>
    <w:p w14:paraId="35E61519" w14:textId="77777777" w:rsidR="00343559" w:rsidRPr="0049761B" w:rsidRDefault="00343559" w:rsidP="001B52D6">
      <w:pPr>
        <w:pStyle w:val="bullet2"/>
        <w:numPr>
          <w:ilvl w:val="0"/>
          <w:numId w:val="9"/>
        </w:numPr>
        <w:spacing w:after="0"/>
        <w:ind w:left="1418"/>
      </w:pPr>
      <w:r>
        <w:rPr>
          <w:lang w:val="fr-FR"/>
        </w:rPr>
        <w:t>Fournisseurs de plateformes et d'équipements (y compris le support et la maintenance) ;</w:t>
      </w:r>
    </w:p>
    <w:p w14:paraId="56C43DF7" w14:textId="77777777" w:rsidR="00343559" w:rsidRPr="0049761B" w:rsidRDefault="00343559" w:rsidP="001B52D6">
      <w:pPr>
        <w:pStyle w:val="bullet2"/>
        <w:numPr>
          <w:ilvl w:val="0"/>
          <w:numId w:val="9"/>
        </w:numPr>
        <w:spacing w:after="0"/>
        <w:ind w:left="1418"/>
      </w:pPr>
      <w:r>
        <w:rPr>
          <w:lang w:val="fr-FR"/>
        </w:rPr>
        <w:t xml:space="preserve">Fournisseurs de solutions d'hébergement et de services pour le </w:t>
      </w:r>
      <w:r>
        <w:rPr>
          <w:i/>
          <w:iCs/>
          <w:lang w:val="fr-FR"/>
        </w:rPr>
        <w:t>cloud</w:t>
      </w:r>
      <w:r>
        <w:rPr>
          <w:lang w:val="fr-FR"/>
        </w:rPr>
        <w:t xml:space="preserve"> (POST et EBRC) ;</w:t>
      </w:r>
    </w:p>
    <w:p w14:paraId="418A1D6C" w14:textId="77777777" w:rsidR="0049761B" w:rsidRPr="0049761B" w:rsidRDefault="00343559" w:rsidP="001B52D6">
      <w:pPr>
        <w:pStyle w:val="bullet2"/>
        <w:numPr>
          <w:ilvl w:val="0"/>
          <w:numId w:val="9"/>
        </w:numPr>
        <w:spacing w:after="0"/>
        <w:ind w:left="1418"/>
      </w:pPr>
      <w:r>
        <w:rPr>
          <w:lang w:val="fr-FR"/>
        </w:rPr>
        <w:t>Fournisseurs de services de facturation.</w:t>
      </w:r>
    </w:p>
    <w:p w14:paraId="6A979944" w14:textId="77777777" w:rsidR="00C747BD" w:rsidRPr="0049761B" w:rsidRDefault="00C747BD" w:rsidP="006D52F5">
      <w:pPr>
        <w:pStyle w:val="bullet2"/>
        <w:numPr>
          <w:ilvl w:val="0"/>
          <w:numId w:val="0"/>
        </w:numPr>
        <w:spacing w:after="0"/>
        <w:rPr>
          <w:rFonts w:eastAsia="Lucida Sans Unicode"/>
          <w:color w:val="595959"/>
          <w:szCs w:val="16"/>
        </w:rPr>
      </w:pPr>
    </w:p>
    <w:p w14:paraId="54DFA828" w14:textId="77777777" w:rsidR="00C80984" w:rsidRPr="0049761B" w:rsidRDefault="00343559" w:rsidP="00C07775">
      <w:pPr>
        <w:pStyle w:val="bullet2"/>
        <w:ind w:left="567"/>
      </w:pPr>
      <w:r>
        <w:rPr>
          <w:lang w:val="fr-FR"/>
        </w:rPr>
        <w:t xml:space="preserve">Instructions spéciales (le cas échéant) : </w:t>
      </w:r>
      <w:r>
        <w:rPr>
          <w:b/>
          <w:bCs/>
          <w:lang w:val="fr-FR"/>
        </w:rPr>
        <w:t>Sans objet</w:t>
      </w:r>
    </w:p>
    <w:sectPr w:rsidR="00C80984" w:rsidRPr="0049761B" w:rsidSect="00C36E59">
      <w:headerReference w:type="default" r:id="rId22"/>
      <w:pgSz w:w="11910" w:h="16840"/>
      <w:pgMar w:top="1588" w:right="1134" w:bottom="1021" w:left="1134" w:header="283" w:footer="0" w:gutter="0"/>
      <w:cols w:space="83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6164" w14:textId="77777777" w:rsidR="00156714" w:rsidRPr="0049761B" w:rsidRDefault="00156714" w:rsidP="00672FEC">
      <w:r>
        <w:separator/>
      </w:r>
    </w:p>
    <w:p w14:paraId="18E1F8CC" w14:textId="77777777" w:rsidR="00156714" w:rsidRPr="0049761B" w:rsidRDefault="00156714" w:rsidP="00672FEC"/>
  </w:endnote>
  <w:endnote w:type="continuationSeparator" w:id="0">
    <w:p w14:paraId="4ABFBF1F" w14:textId="77777777" w:rsidR="00156714" w:rsidRPr="0049761B" w:rsidRDefault="00156714" w:rsidP="00672FEC">
      <w:r>
        <w:continuationSeparator/>
      </w:r>
    </w:p>
    <w:p w14:paraId="3913EC11" w14:textId="77777777" w:rsidR="00156714" w:rsidRPr="0049761B" w:rsidRDefault="00156714" w:rsidP="00672FEC"/>
  </w:endnote>
  <w:endnote w:type="continuationNotice" w:id="1">
    <w:p w14:paraId="525948BF" w14:textId="77777777" w:rsidR="00156714" w:rsidRDefault="00156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980B" w14:textId="77777777" w:rsidR="004903DA" w:rsidRDefault="0049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6" w:type="pct"/>
      <w:tblInd w:w="-567" w:type="dxa"/>
      <w:tblCellMar>
        <w:left w:w="28" w:type="dxa"/>
        <w:right w:w="28" w:type="dxa"/>
      </w:tblCellMar>
      <w:tblLook w:val="04A0" w:firstRow="1" w:lastRow="0" w:firstColumn="1" w:lastColumn="0" w:noHBand="0" w:noVBand="1"/>
    </w:tblPr>
    <w:tblGrid>
      <w:gridCol w:w="3780"/>
      <w:gridCol w:w="888"/>
      <w:gridCol w:w="2327"/>
      <w:gridCol w:w="2786"/>
      <w:gridCol w:w="991"/>
    </w:tblGrid>
    <w:tr w:rsidR="00A869A2" w:rsidRPr="0049761B" w14:paraId="026324B6" w14:textId="77777777" w:rsidTr="00885316">
      <w:trPr>
        <w:trHeight w:hRule="exact" w:val="170"/>
      </w:trPr>
      <w:tc>
        <w:tcPr>
          <w:tcW w:w="2167" w:type="pct"/>
          <w:gridSpan w:val="2"/>
          <w:tcMar>
            <w:left w:w="0" w:type="dxa"/>
            <w:right w:w="0" w:type="dxa"/>
          </w:tcMar>
          <w:vAlign w:val="center"/>
        </w:tcPr>
        <w:p w14:paraId="26FFF69E" w14:textId="77777777" w:rsidR="00A869A2" w:rsidRPr="0049761B" w:rsidRDefault="00A869A2" w:rsidP="00270673">
          <w:pPr>
            <w:pStyle w:val="FooterBold"/>
          </w:pPr>
          <w:r>
            <w:rPr>
              <w:bCs/>
              <w:lang w:val="fr-FR"/>
            </w:rPr>
            <w:t>POST Telecom S.A.</w:t>
          </w:r>
        </w:p>
      </w:tc>
      <w:tc>
        <w:tcPr>
          <w:tcW w:w="2833" w:type="pct"/>
          <w:gridSpan w:val="3"/>
          <w:tcMar>
            <w:left w:w="0" w:type="dxa"/>
            <w:right w:w="28" w:type="dxa"/>
          </w:tcMar>
          <w:vAlign w:val="center"/>
        </w:tcPr>
        <w:p w14:paraId="44A4D3EE" w14:textId="77777777" w:rsidR="00A869A2" w:rsidRPr="0049761B" w:rsidRDefault="00A869A2" w:rsidP="002B1585">
          <w:pPr>
            <w:tabs>
              <w:tab w:val="center" w:pos="4513"/>
              <w:tab w:val="right" w:pos="9026"/>
            </w:tabs>
            <w:spacing w:after="0" w:line="240" w:lineRule="auto"/>
            <w:jc w:val="left"/>
            <w:rPr>
              <w:rFonts w:ascii="Museo Sans 300" w:hAnsi="Museo Sans 300" w:cs="Tahoma"/>
              <w:i/>
              <w:sz w:val="12"/>
              <w:szCs w:val="12"/>
            </w:rPr>
          </w:pPr>
        </w:p>
      </w:tc>
    </w:tr>
    <w:tr w:rsidR="00A869A2" w:rsidRPr="0049761B" w14:paraId="062CC144" w14:textId="77777777" w:rsidTr="00885316">
      <w:trPr>
        <w:trHeight w:hRule="exact" w:val="170"/>
      </w:trPr>
      <w:tc>
        <w:tcPr>
          <w:tcW w:w="4540" w:type="pct"/>
          <w:gridSpan w:val="4"/>
          <w:tcMar>
            <w:left w:w="0" w:type="dxa"/>
            <w:right w:w="0" w:type="dxa"/>
          </w:tcMar>
          <w:vAlign w:val="center"/>
        </w:tcPr>
        <w:p w14:paraId="30840607" w14:textId="77777777" w:rsidR="00A869A2" w:rsidRPr="0049761B" w:rsidRDefault="004903DA" w:rsidP="00960F96">
          <w:pPr>
            <w:pStyle w:val="Footer"/>
          </w:pPr>
          <w:r>
            <w:rPr>
              <w:szCs w:val="14"/>
              <w:lang w:val="fr-FR"/>
            </w:rPr>
            <w:t xml:space="preserve">Adresse postale : POST Telecom L-2996 Luxembourg </w:t>
          </w:r>
          <w:r>
            <w:rPr>
              <w:lang w:val="fr-FR"/>
            </w:rPr>
            <w:t xml:space="preserve">/ Tél. 8002 4000 ou +352 2424 4000 / commercial.telecom@post.lu </w:t>
          </w:r>
        </w:p>
      </w:tc>
      <w:tc>
        <w:tcPr>
          <w:tcW w:w="460" w:type="pct"/>
          <w:tcMar>
            <w:left w:w="0" w:type="dxa"/>
            <w:right w:w="28" w:type="dxa"/>
          </w:tcMar>
          <w:vAlign w:val="center"/>
        </w:tcPr>
        <w:p w14:paraId="53E7FEF4" w14:textId="77777777" w:rsidR="00A869A2" w:rsidRPr="0049761B" w:rsidRDefault="00A869A2" w:rsidP="00270673">
          <w:pPr>
            <w:pStyle w:val="FooterItalic"/>
            <w:jc w:val="right"/>
            <w:rPr>
              <w:sz w:val="14"/>
            </w:rPr>
          </w:pPr>
          <w:r>
            <w:rPr>
              <w:iCs/>
              <w:lang w:val="fr-FR"/>
            </w:rPr>
            <w:t xml:space="preserve">Page </w:t>
          </w:r>
          <w:r>
            <w:rPr>
              <w:iCs/>
              <w:lang w:val="fr-FR"/>
            </w:rPr>
            <w:fldChar w:fldCharType="begin"/>
          </w:r>
          <w:r>
            <w:rPr>
              <w:iCs/>
              <w:lang w:val="fr-FR"/>
            </w:rPr>
            <w:instrText xml:space="preserve"> PAGE  \* Arabic  \* MERGEFORMAT </w:instrText>
          </w:r>
          <w:r>
            <w:rPr>
              <w:iCs/>
              <w:lang w:val="fr-FR"/>
            </w:rPr>
            <w:fldChar w:fldCharType="separate"/>
          </w:r>
          <w:r>
            <w:rPr>
              <w:iCs/>
              <w:noProof/>
              <w:lang w:val="fr-FR"/>
            </w:rPr>
            <w:t>5</w:t>
          </w:r>
          <w:r>
            <w:rPr>
              <w:iCs/>
              <w:lang w:val="fr-FR"/>
            </w:rPr>
            <w:fldChar w:fldCharType="end"/>
          </w:r>
          <w:r>
            <w:rPr>
              <w:iCs/>
              <w:lang w:val="fr-FR"/>
            </w:rPr>
            <w:t>/</w:t>
          </w:r>
          <w:r>
            <w:rPr>
              <w:iCs/>
              <w:lang w:val="fr-FR"/>
            </w:rPr>
            <w:fldChar w:fldCharType="begin"/>
          </w:r>
          <w:r>
            <w:rPr>
              <w:iCs/>
              <w:lang w:val="fr-FR"/>
            </w:rPr>
            <w:instrText xml:space="preserve"> NUMPAGES  \* Arabic  \* MERGEFORMAT </w:instrText>
          </w:r>
          <w:r>
            <w:rPr>
              <w:iCs/>
              <w:lang w:val="fr-FR"/>
            </w:rPr>
            <w:fldChar w:fldCharType="separate"/>
          </w:r>
          <w:r>
            <w:rPr>
              <w:iCs/>
              <w:noProof/>
              <w:lang w:val="fr-FR"/>
            </w:rPr>
            <w:t>13</w:t>
          </w:r>
          <w:r>
            <w:rPr>
              <w:i w:val="0"/>
              <w:noProof/>
              <w:lang w:val="fr-FR"/>
            </w:rPr>
            <w:fldChar w:fldCharType="end"/>
          </w:r>
        </w:p>
      </w:tc>
    </w:tr>
    <w:tr w:rsidR="004903DA" w:rsidRPr="0049761B" w14:paraId="7B13F37E" w14:textId="77777777" w:rsidTr="00885316">
      <w:trPr>
        <w:trHeight w:hRule="exact" w:val="170"/>
      </w:trPr>
      <w:tc>
        <w:tcPr>
          <w:tcW w:w="4540" w:type="pct"/>
          <w:gridSpan w:val="4"/>
          <w:tcMar>
            <w:left w:w="0" w:type="dxa"/>
            <w:right w:w="0" w:type="dxa"/>
          </w:tcMar>
          <w:vAlign w:val="center"/>
        </w:tcPr>
        <w:p w14:paraId="7DFF1362" w14:textId="77777777" w:rsidR="004903DA" w:rsidRPr="0049761B" w:rsidRDefault="004903DA" w:rsidP="004903DA">
          <w:pPr>
            <w:pStyle w:val="Footer"/>
          </w:pPr>
          <w:r>
            <w:rPr>
              <w:szCs w:val="14"/>
              <w:lang w:val="fr-FR"/>
            </w:rPr>
            <w:t>Siège social : 1, rue Emile Bian L-1235 Luxembourg / RCS Luxembourg : B43290 / TVA : LU 15558109 / Autorisation d’établissement n°00116288 / 55</w:t>
          </w:r>
        </w:p>
      </w:tc>
      <w:tc>
        <w:tcPr>
          <w:tcW w:w="460" w:type="pct"/>
          <w:tcMar>
            <w:left w:w="0" w:type="dxa"/>
            <w:right w:w="28" w:type="dxa"/>
          </w:tcMar>
          <w:vAlign w:val="center"/>
        </w:tcPr>
        <w:p w14:paraId="3D9793F5" w14:textId="77777777" w:rsidR="004903DA" w:rsidRPr="0049761B" w:rsidRDefault="004903DA" w:rsidP="004903DA">
          <w:pPr>
            <w:pStyle w:val="Footer"/>
            <w:jc w:val="right"/>
            <w:rPr>
              <w:szCs w:val="14"/>
            </w:rPr>
          </w:pPr>
          <w:r>
            <w:rPr>
              <w:lang w:val="fr-FR"/>
            </w:rPr>
            <w:t>www.post.lu</w:t>
          </w:r>
        </w:p>
      </w:tc>
    </w:tr>
    <w:tr w:rsidR="00A869A2" w:rsidRPr="0049761B" w14:paraId="7EEFA70E" w14:textId="77777777" w:rsidTr="00885316">
      <w:trPr>
        <w:trHeight w:hRule="exact" w:val="113"/>
      </w:trPr>
      <w:tc>
        <w:tcPr>
          <w:tcW w:w="4540" w:type="pct"/>
          <w:gridSpan w:val="4"/>
          <w:tcMar>
            <w:left w:w="0" w:type="dxa"/>
            <w:right w:w="0" w:type="dxa"/>
          </w:tcMar>
          <w:vAlign w:val="center"/>
        </w:tcPr>
        <w:p w14:paraId="477132A4" w14:textId="77777777" w:rsidR="00A869A2" w:rsidRPr="0049761B" w:rsidRDefault="00A869A2" w:rsidP="00270673">
          <w:pPr>
            <w:pStyle w:val="Footer"/>
          </w:pPr>
        </w:p>
      </w:tc>
      <w:tc>
        <w:tcPr>
          <w:tcW w:w="460" w:type="pct"/>
          <w:tcMar>
            <w:left w:w="0" w:type="dxa"/>
            <w:right w:w="28" w:type="dxa"/>
          </w:tcMar>
          <w:vAlign w:val="center"/>
        </w:tcPr>
        <w:p w14:paraId="5CB09FCF" w14:textId="77777777" w:rsidR="00A869A2" w:rsidRPr="0049761B" w:rsidRDefault="00A869A2" w:rsidP="00270673">
          <w:pPr>
            <w:pStyle w:val="Footer"/>
            <w:jc w:val="right"/>
          </w:pPr>
        </w:p>
      </w:tc>
    </w:tr>
    <w:tr w:rsidR="00A869A2" w:rsidRPr="0049761B" w14:paraId="0CC8667B" w14:textId="77777777" w:rsidTr="00885316">
      <w:trPr>
        <w:trHeight w:hRule="exact" w:val="170"/>
      </w:trPr>
      <w:sdt>
        <w:sdtPr>
          <w:rPr>
            <w:lang w:val="en-GB"/>
          </w:rPr>
          <w:alias w:val="Référence"/>
          <w:tag w:val="PTSLSA_Reference"/>
          <w:id w:val="-241027304"/>
          <w:placeholder>
            <w:docPart w:val="56E3CA8558F04C19957E12E59FFCBFDA"/>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Reference[1]" w:storeItemID="{89FF3403-9565-4F98-A4A1-9ECF2F658050}"/>
          <w:text/>
        </w:sdtPr>
        <w:sdtContent>
          <w:tc>
            <w:tcPr>
              <w:tcW w:w="1755" w:type="pct"/>
              <w:tcMar>
                <w:left w:w="0" w:type="dxa"/>
                <w:right w:w="0" w:type="dxa"/>
              </w:tcMar>
              <w:vAlign w:val="center"/>
            </w:tcPr>
            <w:p w14:paraId="4AE8C2A4" w14:textId="77777777" w:rsidR="00A869A2" w:rsidRPr="0049761B" w:rsidRDefault="00A869A2" w:rsidP="0089175E">
              <w:pPr>
                <w:pStyle w:val="FooterItalic"/>
              </w:pPr>
              <w:r>
                <w:rPr>
                  <w:iCs/>
                  <w:lang w:val="fr-FR"/>
                </w:rPr>
                <w:t>DS-0919</w:t>
              </w:r>
            </w:p>
          </w:tc>
        </w:sdtContent>
      </w:sdt>
      <w:sdt>
        <w:sdtPr>
          <w:rPr>
            <w:lang w:val="en-GB"/>
          </w:rPr>
          <w:alias w:val="Titre"/>
          <w:tag w:val="Title"/>
          <w:id w:val="251938562"/>
          <w:placeholder>
            <w:docPart w:val="76C98FAA626D4E47B727331A46FE92A8"/>
          </w:placeholder>
          <w:dataBinding w:prefixMappings="xmlns:ns0='http://purl.org/dc/elements/1.1/' xmlns:ns1='http://schemas.openxmlformats.org/package/2006/metadata/core-properties' " w:xpath="/ns1:coreProperties[1]/ns0:title[1]" w:storeItemID="{6C3C8BC8-F283-45AE-878A-BAB7291924A1}"/>
          <w:text/>
        </w:sdtPr>
        <w:sdtContent>
          <w:tc>
            <w:tcPr>
              <w:tcW w:w="1492" w:type="pct"/>
              <w:gridSpan w:val="2"/>
              <w:vAlign w:val="center"/>
            </w:tcPr>
            <w:p w14:paraId="5E7FDF79" w14:textId="77777777" w:rsidR="00A869A2" w:rsidRPr="0049761B" w:rsidRDefault="00A869A2" w:rsidP="0089175E">
              <w:pPr>
                <w:pStyle w:val="FooterItalic"/>
                <w:jc w:val="center"/>
              </w:pPr>
              <w:r>
                <w:rPr>
                  <w:iCs/>
                  <w:lang w:val="fr-FR"/>
                </w:rPr>
                <w:t>Template_Service Description_EN</w:t>
              </w:r>
            </w:p>
          </w:tc>
        </w:sdtContent>
      </w:sdt>
      <w:tc>
        <w:tcPr>
          <w:tcW w:w="1753" w:type="pct"/>
          <w:gridSpan w:val="2"/>
          <w:tcMar>
            <w:left w:w="0" w:type="dxa"/>
            <w:right w:w="28" w:type="dxa"/>
          </w:tcMar>
          <w:vAlign w:val="center"/>
        </w:tcPr>
        <w:p w14:paraId="6AAD1340" w14:textId="77777777" w:rsidR="00A869A2" w:rsidRPr="0049761B" w:rsidRDefault="00A869A2" w:rsidP="0089175E">
          <w:pPr>
            <w:pStyle w:val="FooterItalic"/>
            <w:jc w:val="right"/>
          </w:pPr>
          <w:r>
            <w:rPr>
              <w:iCs/>
              <w:lang w:val="fr-FR"/>
            </w:rPr>
            <w:t>Version </w:t>
          </w:r>
          <w:sdt>
            <w:sdtPr>
              <w:alias w:val="Version Q&amp;F"/>
              <w:tag w:val="PTSLSA_Version"/>
              <w:id w:val="-1222508043"/>
              <w:placeholder>
                <w:docPart w:val="5A1E55ECE52B414395682C72AC74C606"/>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Version[1]" w:storeItemID="{89FF3403-9565-4F98-A4A1-9ECF2F658050}"/>
              <w:text/>
            </w:sdtPr>
            <w:sdtContent>
              <w:r>
                <w:rPr>
                  <w:iCs/>
                  <w:lang w:val="fr-FR"/>
                </w:rPr>
                <w:t>11</w:t>
              </w:r>
            </w:sdtContent>
          </w:sdt>
        </w:p>
      </w:tc>
    </w:tr>
  </w:tbl>
  <w:p w14:paraId="7F102331" w14:textId="77777777" w:rsidR="00A869A2" w:rsidRPr="0049761B" w:rsidRDefault="00A869A2" w:rsidP="0027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FE3A" w14:textId="77777777" w:rsidR="004903DA" w:rsidRDefault="0049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7225" w14:textId="77777777" w:rsidR="00156714" w:rsidRPr="0049761B" w:rsidRDefault="00156714" w:rsidP="00672FEC">
      <w:r>
        <w:separator/>
      </w:r>
    </w:p>
    <w:p w14:paraId="5E6CCC48" w14:textId="77777777" w:rsidR="00156714" w:rsidRPr="0049761B" w:rsidRDefault="00156714" w:rsidP="00672FEC"/>
  </w:footnote>
  <w:footnote w:type="continuationSeparator" w:id="0">
    <w:p w14:paraId="2202E8C8" w14:textId="77777777" w:rsidR="00156714" w:rsidRPr="0049761B" w:rsidRDefault="00156714" w:rsidP="00672FEC">
      <w:r>
        <w:continuationSeparator/>
      </w:r>
    </w:p>
    <w:p w14:paraId="64A8FFE5" w14:textId="77777777" w:rsidR="00156714" w:rsidRPr="0049761B" w:rsidRDefault="00156714" w:rsidP="00672FEC"/>
  </w:footnote>
  <w:footnote w:type="continuationNotice" w:id="1">
    <w:p w14:paraId="0B464668" w14:textId="77777777" w:rsidR="00156714" w:rsidRDefault="00156714">
      <w:pPr>
        <w:spacing w:after="0" w:line="240" w:lineRule="auto"/>
      </w:pPr>
    </w:p>
  </w:footnote>
  <w:footnote w:id="2">
    <w:p w14:paraId="5A029642" w14:textId="77777777" w:rsidR="00343559" w:rsidRPr="0049761B" w:rsidRDefault="00343559" w:rsidP="00343559">
      <w:pPr>
        <w:pStyle w:val="FootnoteText"/>
      </w:pPr>
      <w:r>
        <w:rPr>
          <w:rStyle w:val="FootnoteReference"/>
        </w:rPr>
        <w:footnoteRef/>
      </w:r>
      <w:r>
        <w:t xml:space="preserve"> L'utilisation du Portail doit être explicitement demandée et validée par POST Telecom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2988" w14:textId="77777777" w:rsidR="004903DA" w:rsidRDefault="0049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4ED" w14:textId="77777777" w:rsidR="004903DA" w:rsidRDefault="0049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130E" w14:textId="77777777" w:rsidR="004903DA" w:rsidRDefault="0049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8E6" w14:textId="77777777" w:rsidR="00A869A2" w:rsidRPr="0049761B" w:rsidRDefault="00A869A2" w:rsidP="00672FEC">
    <w:pPr>
      <w:pStyle w:val="Header"/>
    </w:pPr>
    <w:r>
      <w:rPr>
        <w:noProof/>
        <w:lang w:val="fr-FR"/>
      </w:rPr>
      <w:drawing>
        <wp:inline distT="0" distB="0" distL="0" distR="0" wp14:anchorId="36A7AF73">
          <wp:extent cx="1542503" cy="952500"/>
          <wp:effectExtent l="0" t="0" r="635" b="0"/>
          <wp:docPr id="1" name="Picture 1" descr="F:\POST Telecom\Set contractuel\Travaux Set Contractuel\Set contrat POST Telecom\Template général\Logos\POST_Logotype_Tel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ST Telecom\Set contractuel\Travaux Set Contractuel\Set contrat POST Telecom\Template général\Logos\POST_Logotype_Teleco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660" t="24409" r="9025" b="24145"/>
                  <a:stretch/>
                </pic:blipFill>
                <pic:spPr bwMode="auto">
                  <a:xfrm>
                    <a:off x="0" y="0"/>
                    <a:ext cx="1551865" cy="9582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71"/>
    <w:multiLevelType w:val="hybridMultilevel"/>
    <w:tmpl w:val="42D2CC96"/>
    <w:lvl w:ilvl="0" w:tplc="0D6E874A">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5B0D"/>
    <w:multiLevelType w:val="hybridMultilevel"/>
    <w:tmpl w:val="A05218C0"/>
    <w:lvl w:ilvl="0" w:tplc="04090001">
      <w:start w:val="1"/>
      <w:numFmt w:val="bullet"/>
      <w:lvlText w:val=""/>
      <w:lvlJc w:val="left"/>
      <w:pPr>
        <w:tabs>
          <w:tab w:val="num" w:pos="720"/>
        </w:tabs>
        <w:ind w:left="720" w:hanging="360"/>
      </w:pPr>
      <w:rPr>
        <w:rFonts w:ascii="Symbol" w:hAnsi="Symbol" w:hint="default"/>
      </w:rPr>
    </w:lvl>
    <w:lvl w:ilvl="1" w:tplc="9AFE91EE">
      <w:start w:val="1"/>
      <w:numFmt w:val="bullet"/>
      <w:lvlText w:val="o"/>
      <w:lvlJc w:val="left"/>
      <w:pPr>
        <w:tabs>
          <w:tab w:val="num" w:pos="1440"/>
        </w:tabs>
        <w:ind w:left="1440" w:hanging="360"/>
      </w:pPr>
      <w:rPr>
        <w:rFonts w:ascii="Courier New" w:hAnsi="Courier New" w:cs="Courier New" w:hint="default"/>
        <w:lang w:val="en-US"/>
      </w:rPr>
    </w:lvl>
    <w:lvl w:ilvl="2" w:tplc="AD5C0CCA">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8BA"/>
    <w:multiLevelType w:val="multilevel"/>
    <w:tmpl w:val="9902796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720" w:hanging="720"/>
      </w:pPr>
      <w:rPr>
        <w:rFonts w:hint="default"/>
        <w:color w:val="000000" w:themeColor="text1"/>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884081"/>
    <w:multiLevelType w:val="hybridMultilevel"/>
    <w:tmpl w:val="9946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A1E82"/>
    <w:multiLevelType w:val="hybridMultilevel"/>
    <w:tmpl w:val="2268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944"/>
    <w:multiLevelType w:val="hybridMultilevel"/>
    <w:tmpl w:val="D7EE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97055"/>
    <w:multiLevelType w:val="hybridMultilevel"/>
    <w:tmpl w:val="9FAE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0C0"/>
    <w:multiLevelType w:val="hybridMultilevel"/>
    <w:tmpl w:val="8B720218"/>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30F9A"/>
    <w:multiLevelType w:val="hybridMultilevel"/>
    <w:tmpl w:val="7FC6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06A6"/>
    <w:multiLevelType w:val="hybridMultilevel"/>
    <w:tmpl w:val="8ACE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02F90"/>
    <w:multiLevelType w:val="hybridMultilevel"/>
    <w:tmpl w:val="41D87CA6"/>
    <w:lvl w:ilvl="0" w:tplc="1C9E48D8">
      <w:start w:val="1"/>
      <w:numFmt w:val="bullet"/>
      <w:pStyle w:val="bullet"/>
      <w:lvlText w:val=""/>
      <w:lvlJc w:val="left"/>
      <w:pPr>
        <w:ind w:left="2293" w:hanging="360"/>
      </w:pPr>
      <w:rPr>
        <w:rFonts w:ascii="Symbol" w:hAnsi="Symbol" w:hint="default"/>
        <w:color w:val="00B2DD"/>
      </w:rPr>
    </w:lvl>
    <w:lvl w:ilvl="1" w:tplc="04090003">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11" w15:restartNumberingAfterBreak="0">
    <w:nsid w:val="2AA117A1"/>
    <w:multiLevelType w:val="hybridMultilevel"/>
    <w:tmpl w:val="614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D375E"/>
    <w:multiLevelType w:val="hybridMultilevel"/>
    <w:tmpl w:val="935480D0"/>
    <w:lvl w:ilvl="0" w:tplc="36C82416">
      <w:start w:val="1"/>
      <w:numFmt w:val="bullet"/>
      <w:pStyle w:val="bullet2"/>
      <w:lvlText w:val=""/>
      <w:lvlJc w:val="left"/>
      <w:pPr>
        <w:ind w:left="3636" w:hanging="360"/>
      </w:pPr>
      <w:rPr>
        <w:rFonts w:ascii="Symbol" w:hAnsi="Symbol" w:hint="default"/>
        <w:color w:val="00B2DD"/>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13" w15:restartNumberingAfterBreak="0">
    <w:nsid w:val="31233B92"/>
    <w:multiLevelType w:val="hybridMultilevel"/>
    <w:tmpl w:val="2F0AFFA8"/>
    <w:lvl w:ilvl="0" w:tplc="977873FA">
      <w:start w:val="1"/>
      <w:numFmt w:val="bullet"/>
      <w:pStyle w:val="Style4pucePD"/>
      <w:lvlText w:val=""/>
      <w:lvlJc w:val="left"/>
      <w:pPr>
        <w:ind w:left="720" w:hanging="360"/>
      </w:pPr>
      <w:rPr>
        <w:rFonts w:ascii="Symbol" w:hAnsi="Symbol" w:hint="default"/>
        <w:color w:val="00A6D4"/>
      </w:rPr>
    </w:lvl>
    <w:lvl w:ilvl="1" w:tplc="827083DC">
      <w:start w:val="1"/>
      <w:numFmt w:val="bullet"/>
      <w:lvlText w:val="o"/>
      <w:lvlJc w:val="left"/>
      <w:pPr>
        <w:ind w:left="1440" w:hanging="360"/>
      </w:pPr>
      <w:rPr>
        <w:rFonts w:ascii="Courier New" w:hAnsi="Courier New" w:cs="Courier New" w:hint="default"/>
      </w:rPr>
    </w:lvl>
    <w:lvl w:ilvl="2" w:tplc="FA98347C">
      <w:start w:val="1"/>
      <w:numFmt w:val="bullet"/>
      <w:lvlText w:val=""/>
      <w:lvlJc w:val="left"/>
      <w:pPr>
        <w:ind w:left="2160" w:hanging="360"/>
      </w:pPr>
      <w:rPr>
        <w:rFonts w:ascii="Wingdings" w:hAnsi="Wingdings" w:hint="default"/>
      </w:rPr>
    </w:lvl>
    <w:lvl w:ilvl="3" w:tplc="ED7401A8" w:tentative="1">
      <w:start w:val="1"/>
      <w:numFmt w:val="bullet"/>
      <w:lvlText w:val=""/>
      <w:lvlJc w:val="left"/>
      <w:pPr>
        <w:ind w:left="2880" w:hanging="360"/>
      </w:pPr>
      <w:rPr>
        <w:rFonts w:ascii="Symbol" w:hAnsi="Symbol" w:hint="default"/>
      </w:rPr>
    </w:lvl>
    <w:lvl w:ilvl="4" w:tplc="D2A2327E" w:tentative="1">
      <w:start w:val="1"/>
      <w:numFmt w:val="bullet"/>
      <w:lvlText w:val="o"/>
      <w:lvlJc w:val="left"/>
      <w:pPr>
        <w:ind w:left="3600" w:hanging="360"/>
      </w:pPr>
      <w:rPr>
        <w:rFonts w:ascii="Courier New" w:hAnsi="Courier New" w:cs="Courier New" w:hint="default"/>
      </w:rPr>
    </w:lvl>
    <w:lvl w:ilvl="5" w:tplc="9168D27A" w:tentative="1">
      <w:start w:val="1"/>
      <w:numFmt w:val="bullet"/>
      <w:lvlText w:val=""/>
      <w:lvlJc w:val="left"/>
      <w:pPr>
        <w:ind w:left="4320" w:hanging="360"/>
      </w:pPr>
      <w:rPr>
        <w:rFonts w:ascii="Wingdings" w:hAnsi="Wingdings" w:hint="default"/>
      </w:rPr>
    </w:lvl>
    <w:lvl w:ilvl="6" w:tplc="4266BE8C" w:tentative="1">
      <w:start w:val="1"/>
      <w:numFmt w:val="bullet"/>
      <w:lvlText w:val=""/>
      <w:lvlJc w:val="left"/>
      <w:pPr>
        <w:ind w:left="5040" w:hanging="360"/>
      </w:pPr>
      <w:rPr>
        <w:rFonts w:ascii="Symbol" w:hAnsi="Symbol" w:hint="default"/>
      </w:rPr>
    </w:lvl>
    <w:lvl w:ilvl="7" w:tplc="A71C76F8" w:tentative="1">
      <w:start w:val="1"/>
      <w:numFmt w:val="bullet"/>
      <w:lvlText w:val="o"/>
      <w:lvlJc w:val="left"/>
      <w:pPr>
        <w:ind w:left="5760" w:hanging="360"/>
      </w:pPr>
      <w:rPr>
        <w:rFonts w:ascii="Courier New" w:hAnsi="Courier New" w:cs="Courier New" w:hint="default"/>
      </w:rPr>
    </w:lvl>
    <w:lvl w:ilvl="8" w:tplc="7E0C1532" w:tentative="1">
      <w:start w:val="1"/>
      <w:numFmt w:val="bullet"/>
      <w:lvlText w:val=""/>
      <w:lvlJc w:val="left"/>
      <w:pPr>
        <w:ind w:left="6480" w:hanging="360"/>
      </w:pPr>
      <w:rPr>
        <w:rFonts w:ascii="Wingdings" w:hAnsi="Wingdings" w:hint="default"/>
      </w:rPr>
    </w:lvl>
  </w:abstractNum>
  <w:abstractNum w:abstractNumId="14" w15:restartNumberingAfterBreak="0">
    <w:nsid w:val="32F942A6"/>
    <w:multiLevelType w:val="hybridMultilevel"/>
    <w:tmpl w:val="84B8E76E"/>
    <w:lvl w:ilvl="0" w:tplc="E48EB4CC">
      <w:start w:val="1"/>
      <w:numFmt w:val="lowerRoman"/>
      <w:pStyle w:val="bulletjuridique"/>
      <w:lvlText w:val="(%1)"/>
      <w:lvlJc w:val="left"/>
      <w:pPr>
        <w:ind w:left="1307" w:hanging="454"/>
      </w:pPr>
      <w:rPr>
        <w:rFonts w:ascii="Tahoma" w:eastAsia="Tahoma" w:hAnsi="Tahoma" w:hint="default"/>
        <w:color w:val="737373"/>
        <w:w w:val="99"/>
        <w:sz w:val="20"/>
        <w:szCs w:val="20"/>
      </w:rPr>
    </w:lvl>
    <w:lvl w:ilvl="1" w:tplc="840402CC">
      <w:start w:val="1"/>
      <w:numFmt w:val="bullet"/>
      <w:lvlText w:val="•"/>
      <w:lvlJc w:val="left"/>
      <w:pPr>
        <w:ind w:left="2237" w:hanging="454"/>
      </w:pPr>
      <w:rPr>
        <w:rFonts w:hint="default"/>
      </w:rPr>
    </w:lvl>
    <w:lvl w:ilvl="2" w:tplc="8C60AAD6">
      <w:start w:val="1"/>
      <w:numFmt w:val="bullet"/>
      <w:lvlText w:val="•"/>
      <w:lvlJc w:val="left"/>
      <w:pPr>
        <w:ind w:left="3167" w:hanging="454"/>
      </w:pPr>
      <w:rPr>
        <w:rFonts w:hint="default"/>
      </w:rPr>
    </w:lvl>
    <w:lvl w:ilvl="3" w:tplc="43DEEBE0">
      <w:start w:val="1"/>
      <w:numFmt w:val="bullet"/>
      <w:lvlText w:val="•"/>
      <w:lvlJc w:val="left"/>
      <w:pPr>
        <w:ind w:left="4096" w:hanging="454"/>
      </w:pPr>
      <w:rPr>
        <w:rFonts w:hint="default"/>
      </w:rPr>
    </w:lvl>
    <w:lvl w:ilvl="4" w:tplc="9DFC67FE">
      <w:start w:val="1"/>
      <w:numFmt w:val="bullet"/>
      <w:lvlText w:val="•"/>
      <w:lvlJc w:val="left"/>
      <w:pPr>
        <w:ind w:left="5026" w:hanging="454"/>
      </w:pPr>
      <w:rPr>
        <w:rFonts w:hint="default"/>
      </w:rPr>
    </w:lvl>
    <w:lvl w:ilvl="5" w:tplc="009E2DD6">
      <w:start w:val="1"/>
      <w:numFmt w:val="bullet"/>
      <w:lvlText w:val="•"/>
      <w:lvlJc w:val="left"/>
      <w:pPr>
        <w:ind w:left="5956" w:hanging="454"/>
      </w:pPr>
      <w:rPr>
        <w:rFonts w:hint="default"/>
      </w:rPr>
    </w:lvl>
    <w:lvl w:ilvl="6" w:tplc="CAA82AEA">
      <w:start w:val="1"/>
      <w:numFmt w:val="bullet"/>
      <w:lvlText w:val="•"/>
      <w:lvlJc w:val="left"/>
      <w:pPr>
        <w:ind w:left="6886" w:hanging="454"/>
      </w:pPr>
      <w:rPr>
        <w:rFonts w:hint="default"/>
      </w:rPr>
    </w:lvl>
    <w:lvl w:ilvl="7" w:tplc="D416E16C">
      <w:start w:val="1"/>
      <w:numFmt w:val="bullet"/>
      <w:lvlText w:val="•"/>
      <w:lvlJc w:val="left"/>
      <w:pPr>
        <w:ind w:left="7816" w:hanging="454"/>
      </w:pPr>
      <w:rPr>
        <w:rFonts w:hint="default"/>
      </w:rPr>
    </w:lvl>
    <w:lvl w:ilvl="8" w:tplc="69C879C2">
      <w:start w:val="1"/>
      <w:numFmt w:val="bullet"/>
      <w:lvlText w:val="•"/>
      <w:lvlJc w:val="left"/>
      <w:pPr>
        <w:ind w:left="8745" w:hanging="454"/>
      </w:pPr>
      <w:rPr>
        <w:rFonts w:hint="default"/>
      </w:rPr>
    </w:lvl>
  </w:abstractNum>
  <w:abstractNum w:abstractNumId="15" w15:restartNumberingAfterBreak="0">
    <w:nsid w:val="331B5A6C"/>
    <w:multiLevelType w:val="hybridMultilevel"/>
    <w:tmpl w:val="33ACA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C03"/>
    <w:multiLevelType w:val="hybridMultilevel"/>
    <w:tmpl w:val="142C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64353"/>
    <w:multiLevelType w:val="hybridMultilevel"/>
    <w:tmpl w:val="5CBAC1AE"/>
    <w:lvl w:ilvl="0" w:tplc="7430B03C">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D27BD"/>
    <w:multiLevelType w:val="hybridMultilevel"/>
    <w:tmpl w:val="6838836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1EE2"/>
    <w:multiLevelType w:val="multilevel"/>
    <w:tmpl w:val="19982006"/>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EF0057E"/>
    <w:multiLevelType w:val="hybridMultilevel"/>
    <w:tmpl w:val="B4B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B7BE0"/>
    <w:multiLevelType w:val="hybridMultilevel"/>
    <w:tmpl w:val="2A263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B2F2A"/>
    <w:multiLevelType w:val="hybridMultilevel"/>
    <w:tmpl w:val="0F5A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737B6"/>
    <w:multiLevelType w:val="hybridMultilevel"/>
    <w:tmpl w:val="14E62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11771">
    <w:abstractNumId w:val="14"/>
  </w:num>
  <w:num w:numId="2" w16cid:durableId="618225486">
    <w:abstractNumId w:val="10"/>
  </w:num>
  <w:num w:numId="3" w16cid:durableId="61297274">
    <w:abstractNumId w:val="19"/>
  </w:num>
  <w:num w:numId="4" w16cid:durableId="1603762202">
    <w:abstractNumId w:val="0"/>
  </w:num>
  <w:num w:numId="5" w16cid:durableId="751001960">
    <w:abstractNumId w:val="1"/>
  </w:num>
  <w:num w:numId="6" w16cid:durableId="1889340297">
    <w:abstractNumId w:val="13"/>
  </w:num>
  <w:num w:numId="7" w16cid:durableId="288560280">
    <w:abstractNumId w:val="7"/>
  </w:num>
  <w:num w:numId="8" w16cid:durableId="986124540">
    <w:abstractNumId w:val="12"/>
  </w:num>
  <w:num w:numId="9" w16cid:durableId="2086369356">
    <w:abstractNumId w:val="20"/>
  </w:num>
  <w:num w:numId="10" w16cid:durableId="204802771">
    <w:abstractNumId w:val="17"/>
  </w:num>
  <w:num w:numId="11" w16cid:durableId="738555524">
    <w:abstractNumId w:val="18"/>
  </w:num>
  <w:num w:numId="12" w16cid:durableId="610166368">
    <w:abstractNumId w:val="2"/>
  </w:num>
  <w:num w:numId="13" w16cid:durableId="1677658708">
    <w:abstractNumId w:val="16"/>
  </w:num>
  <w:num w:numId="14" w16cid:durableId="1270702193">
    <w:abstractNumId w:val="9"/>
  </w:num>
  <w:num w:numId="15" w16cid:durableId="324670337">
    <w:abstractNumId w:val="15"/>
  </w:num>
  <w:num w:numId="16" w16cid:durableId="244413426">
    <w:abstractNumId w:val="8"/>
  </w:num>
  <w:num w:numId="17" w16cid:durableId="1718354244">
    <w:abstractNumId w:val="6"/>
  </w:num>
  <w:num w:numId="18" w16cid:durableId="8678480">
    <w:abstractNumId w:val="3"/>
  </w:num>
  <w:num w:numId="19" w16cid:durableId="759834601">
    <w:abstractNumId w:val="5"/>
  </w:num>
  <w:num w:numId="20" w16cid:durableId="619993163">
    <w:abstractNumId w:val="11"/>
  </w:num>
  <w:num w:numId="21" w16cid:durableId="2017420482">
    <w:abstractNumId w:val="22"/>
  </w:num>
  <w:num w:numId="22" w16cid:durableId="799811415">
    <w:abstractNumId w:val="21"/>
  </w:num>
  <w:num w:numId="23" w16cid:durableId="447163055">
    <w:abstractNumId w:val="23"/>
  </w:num>
  <w:num w:numId="24" w16cid:durableId="1603881565">
    <w:abstractNumId w:val="4"/>
  </w:num>
  <w:num w:numId="25" w16cid:durableId="66239282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5F"/>
    <w:rsid w:val="000037E0"/>
    <w:rsid w:val="000106D6"/>
    <w:rsid w:val="00016B8B"/>
    <w:rsid w:val="000328FD"/>
    <w:rsid w:val="00033448"/>
    <w:rsid w:val="0004451F"/>
    <w:rsid w:val="00054289"/>
    <w:rsid w:val="000569BD"/>
    <w:rsid w:val="0006341E"/>
    <w:rsid w:val="00066824"/>
    <w:rsid w:val="00066B7C"/>
    <w:rsid w:val="0007378C"/>
    <w:rsid w:val="00091621"/>
    <w:rsid w:val="00095F54"/>
    <w:rsid w:val="00097DCC"/>
    <w:rsid w:val="000A428C"/>
    <w:rsid w:val="000B4F46"/>
    <w:rsid w:val="000C135A"/>
    <w:rsid w:val="000D0B38"/>
    <w:rsid w:val="000F6B38"/>
    <w:rsid w:val="00116C59"/>
    <w:rsid w:val="00120E88"/>
    <w:rsid w:val="001222BF"/>
    <w:rsid w:val="00131A98"/>
    <w:rsid w:val="001352E8"/>
    <w:rsid w:val="00156714"/>
    <w:rsid w:val="00161CFA"/>
    <w:rsid w:val="00165F7F"/>
    <w:rsid w:val="001702FA"/>
    <w:rsid w:val="00185ED8"/>
    <w:rsid w:val="001A0ED3"/>
    <w:rsid w:val="001B52D6"/>
    <w:rsid w:val="001B6899"/>
    <w:rsid w:val="001C7CD0"/>
    <w:rsid w:val="001E203C"/>
    <w:rsid w:val="001E32D4"/>
    <w:rsid w:val="001E64DD"/>
    <w:rsid w:val="001F2AF4"/>
    <w:rsid w:val="001F2BE8"/>
    <w:rsid w:val="0021179A"/>
    <w:rsid w:val="0022040A"/>
    <w:rsid w:val="002438FE"/>
    <w:rsid w:val="00253E1E"/>
    <w:rsid w:val="002563CA"/>
    <w:rsid w:val="00261B61"/>
    <w:rsid w:val="00264A81"/>
    <w:rsid w:val="00266B59"/>
    <w:rsid w:val="00270673"/>
    <w:rsid w:val="0027509F"/>
    <w:rsid w:val="002852FB"/>
    <w:rsid w:val="002867E7"/>
    <w:rsid w:val="0029152B"/>
    <w:rsid w:val="0029545D"/>
    <w:rsid w:val="002A056B"/>
    <w:rsid w:val="002A08FC"/>
    <w:rsid w:val="002A51F4"/>
    <w:rsid w:val="002A7FE6"/>
    <w:rsid w:val="002B1585"/>
    <w:rsid w:val="002B3646"/>
    <w:rsid w:val="002B3795"/>
    <w:rsid w:val="002B522A"/>
    <w:rsid w:val="002E0E49"/>
    <w:rsid w:val="002F0C84"/>
    <w:rsid w:val="00305E5E"/>
    <w:rsid w:val="00343559"/>
    <w:rsid w:val="00347E33"/>
    <w:rsid w:val="0035489C"/>
    <w:rsid w:val="00360BA4"/>
    <w:rsid w:val="00382702"/>
    <w:rsid w:val="00395D5C"/>
    <w:rsid w:val="00395DB4"/>
    <w:rsid w:val="003A5972"/>
    <w:rsid w:val="003A6617"/>
    <w:rsid w:val="003B138E"/>
    <w:rsid w:val="003C7D21"/>
    <w:rsid w:val="004015A9"/>
    <w:rsid w:val="00414F1A"/>
    <w:rsid w:val="00423B88"/>
    <w:rsid w:val="0042569A"/>
    <w:rsid w:val="00446514"/>
    <w:rsid w:val="004633DE"/>
    <w:rsid w:val="00465133"/>
    <w:rsid w:val="00481747"/>
    <w:rsid w:val="00483E9B"/>
    <w:rsid w:val="00486F19"/>
    <w:rsid w:val="004903DA"/>
    <w:rsid w:val="0049315B"/>
    <w:rsid w:val="0049761B"/>
    <w:rsid w:val="004C2EE4"/>
    <w:rsid w:val="004D003B"/>
    <w:rsid w:val="004D6B1E"/>
    <w:rsid w:val="004E2988"/>
    <w:rsid w:val="004F1DFF"/>
    <w:rsid w:val="0052146C"/>
    <w:rsid w:val="00530257"/>
    <w:rsid w:val="00535B31"/>
    <w:rsid w:val="005369CD"/>
    <w:rsid w:val="00552BBB"/>
    <w:rsid w:val="0057295F"/>
    <w:rsid w:val="00576436"/>
    <w:rsid w:val="00593F53"/>
    <w:rsid w:val="005C5CA7"/>
    <w:rsid w:val="005D0CD5"/>
    <w:rsid w:val="00601AEC"/>
    <w:rsid w:val="00613CD7"/>
    <w:rsid w:val="00622F9F"/>
    <w:rsid w:val="00637E87"/>
    <w:rsid w:val="006568B4"/>
    <w:rsid w:val="0066472D"/>
    <w:rsid w:val="0066499B"/>
    <w:rsid w:val="00671B3E"/>
    <w:rsid w:val="00672742"/>
    <w:rsid w:val="00672FEC"/>
    <w:rsid w:val="006817D2"/>
    <w:rsid w:val="0068284D"/>
    <w:rsid w:val="00682D17"/>
    <w:rsid w:val="00686550"/>
    <w:rsid w:val="006C6470"/>
    <w:rsid w:val="006D3B30"/>
    <w:rsid w:val="006D3E0C"/>
    <w:rsid w:val="006D52F5"/>
    <w:rsid w:val="006E6DBF"/>
    <w:rsid w:val="006F116E"/>
    <w:rsid w:val="006F1A1A"/>
    <w:rsid w:val="0070465F"/>
    <w:rsid w:val="00705C50"/>
    <w:rsid w:val="00710EF0"/>
    <w:rsid w:val="0071794A"/>
    <w:rsid w:val="00722573"/>
    <w:rsid w:val="00722FA5"/>
    <w:rsid w:val="00725BB5"/>
    <w:rsid w:val="00743E71"/>
    <w:rsid w:val="00751C99"/>
    <w:rsid w:val="007548C1"/>
    <w:rsid w:val="00776BDB"/>
    <w:rsid w:val="00795549"/>
    <w:rsid w:val="007972F6"/>
    <w:rsid w:val="007A3B73"/>
    <w:rsid w:val="007C2737"/>
    <w:rsid w:val="007C56A5"/>
    <w:rsid w:val="007D36A2"/>
    <w:rsid w:val="007D3FE9"/>
    <w:rsid w:val="007D4D80"/>
    <w:rsid w:val="007E1DB0"/>
    <w:rsid w:val="007F2A3D"/>
    <w:rsid w:val="007F3618"/>
    <w:rsid w:val="00800EAD"/>
    <w:rsid w:val="00803271"/>
    <w:rsid w:val="00805FED"/>
    <w:rsid w:val="00812A40"/>
    <w:rsid w:val="0083030A"/>
    <w:rsid w:val="00836761"/>
    <w:rsid w:val="008425D6"/>
    <w:rsid w:val="00855023"/>
    <w:rsid w:val="00865922"/>
    <w:rsid w:val="00877D4D"/>
    <w:rsid w:val="00885316"/>
    <w:rsid w:val="00885C6F"/>
    <w:rsid w:val="0089175E"/>
    <w:rsid w:val="008A113D"/>
    <w:rsid w:val="008A5BAF"/>
    <w:rsid w:val="008B1AA6"/>
    <w:rsid w:val="008B7D13"/>
    <w:rsid w:val="008C4857"/>
    <w:rsid w:val="008C772C"/>
    <w:rsid w:val="008D15E8"/>
    <w:rsid w:val="008F7EC0"/>
    <w:rsid w:val="009001FF"/>
    <w:rsid w:val="00905E58"/>
    <w:rsid w:val="00907F25"/>
    <w:rsid w:val="00922713"/>
    <w:rsid w:val="00924F0D"/>
    <w:rsid w:val="00954D02"/>
    <w:rsid w:val="00960F96"/>
    <w:rsid w:val="00965BBF"/>
    <w:rsid w:val="00970895"/>
    <w:rsid w:val="00971EF2"/>
    <w:rsid w:val="009821D2"/>
    <w:rsid w:val="009A3293"/>
    <w:rsid w:val="009A7C82"/>
    <w:rsid w:val="009A7CA8"/>
    <w:rsid w:val="009B3124"/>
    <w:rsid w:val="009B41BE"/>
    <w:rsid w:val="009C3312"/>
    <w:rsid w:val="009D77B7"/>
    <w:rsid w:val="009E5490"/>
    <w:rsid w:val="009E5E06"/>
    <w:rsid w:val="00A125D2"/>
    <w:rsid w:val="00A2030E"/>
    <w:rsid w:val="00A307AA"/>
    <w:rsid w:val="00A31DB6"/>
    <w:rsid w:val="00A364E1"/>
    <w:rsid w:val="00A36A8A"/>
    <w:rsid w:val="00A40B20"/>
    <w:rsid w:val="00A40D23"/>
    <w:rsid w:val="00A47C87"/>
    <w:rsid w:val="00A57A20"/>
    <w:rsid w:val="00A60684"/>
    <w:rsid w:val="00A735AA"/>
    <w:rsid w:val="00A869A2"/>
    <w:rsid w:val="00AC234E"/>
    <w:rsid w:val="00AC7E5D"/>
    <w:rsid w:val="00AD3723"/>
    <w:rsid w:val="00AF07A3"/>
    <w:rsid w:val="00AF4F53"/>
    <w:rsid w:val="00B10B02"/>
    <w:rsid w:val="00B215D4"/>
    <w:rsid w:val="00B23BBC"/>
    <w:rsid w:val="00B267E1"/>
    <w:rsid w:val="00B4009E"/>
    <w:rsid w:val="00B51D32"/>
    <w:rsid w:val="00B5396B"/>
    <w:rsid w:val="00B5755B"/>
    <w:rsid w:val="00B750D1"/>
    <w:rsid w:val="00B829C9"/>
    <w:rsid w:val="00B87BF6"/>
    <w:rsid w:val="00BA4912"/>
    <w:rsid w:val="00BB61DB"/>
    <w:rsid w:val="00BC4376"/>
    <w:rsid w:val="00BE550A"/>
    <w:rsid w:val="00C0482C"/>
    <w:rsid w:val="00C116D4"/>
    <w:rsid w:val="00C11DE3"/>
    <w:rsid w:val="00C15AEF"/>
    <w:rsid w:val="00C25856"/>
    <w:rsid w:val="00C26A7A"/>
    <w:rsid w:val="00C36E59"/>
    <w:rsid w:val="00C52985"/>
    <w:rsid w:val="00C66D53"/>
    <w:rsid w:val="00C747BD"/>
    <w:rsid w:val="00C80984"/>
    <w:rsid w:val="00CB7B23"/>
    <w:rsid w:val="00CB7BC0"/>
    <w:rsid w:val="00CE2035"/>
    <w:rsid w:val="00CF00E1"/>
    <w:rsid w:val="00CF3C0D"/>
    <w:rsid w:val="00CF4C91"/>
    <w:rsid w:val="00D01823"/>
    <w:rsid w:val="00D05AF2"/>
    <w:rsid w:val="00D165F6"/>
    <w:rsid w:val="00D17120"/>
    <w:rsid w:val="00D238DA"/>
    <w:rsid w:val="00D3498D"/>
    <w:rsid w:val="00D42E77"/>
    <w:rsid w:val="00D526B7"/>
    <w:rsid w:val="00D54974"/>
    <w:rsid w:val="00D55504"/>
    <w:rsid w:val="00D577F5"/>
    <w:rsid w:val="00D81254"/>
    <w:rsid w:val="00D866F6"/>
    <w:rsid w:val="00D87573"/>
    <w:rsid w:val="00D927D9"/>
    <w:rsid w:val="00DA6D62"/>
    <w:rsid w:val="00DB658B"/>
    <w:rsid w:val="00DC73BC"/>
    <w:rsid w:val="00DE080F"/>
    <w:rsid w:val="00DE4789"/>
    <w:rsid w:val="00DF205B"/>
    <w:rsid w:val="00DF6C3D"/>
    <w:rsid w:val="00E07EA1"/>
    <w:rsid w:val="00E15071"/>
    <w:rsid w:val="00E1582F"/>
    <w:rsid w:val="00E25C4F"/>
    <w:rsid w:val="00E274F4"/>
    <w:rsid w:val="00E40285"/>
    <w:rsid w:val="00E53926"/>
    <w:rsid w:val="00E70330"/>
    <w:rsid w:val="00E727F4"/>
    <w:rsid w:val="00E751BF"/>
    <w:rsid w:val="00E93FB4"/>
    <w:rsid w:val="00E94666"/>
    <w:rsid w:val="00EB1993"/>
    <w:rsid w:val="00EC4C14"/>
    <w:rsid w:val="00ED2ACE"/>
    <w:rsid w:val="00EE3DD6"/>
    <w:rsid w:val="00EF5D68"/>
    <w:rsid w:val="00F0227A"/>
    <w:rsid w:val="00F0261F"/>
    <w:rsid w:val="00F238AA"/>
    <w:rsid w:val="00F30454"/>
    <w:rsid w:val="00F3473E"/>
    <w:rsid w:val="00F44E1F"/>
    <w:rsid w:val="00F51737"/>
    <w:rsid w:val="00F562E9"/>
    <w:rsid w:val="00F57F7B"/>
    <w:rsid w:val="00F61A5D"/>
    <w:rsid w:val="00F64AE3"/>
    <w:rsid w:val="00F65BDB"/>
    <w:rsid w:val="00F67271"/>
    <w:rsid w:val="00F77516"/>
    <w:rsid w:val="00F8646C"/>
    <w:rsid w:val="00F86842"/>
    <w:rsid w:val="00F86910"/>
    <w:rsid w:val="00FA5B56"/>
    <w:rsid w:val="00FB3B51"/>
    <w:rsid w:val="00FB4AFC"/>
    <w:rsid w:val="00FC6B37"/>
    <w:rsid w:val="00FC710A"/>
    <w:rsid w:val="00FD5E6D"/>
    <w:rsid w:val="00FE4ADE"/>
    <w:rsid w:val="00FE66DF"/>
    <w:rsid w:val="00FE6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3502"/>
  <w15:docId w15:val="{F68C3300-F6B7-4B87-BE7A-736A316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51BF"/>
    <w:pPr>
      <w:spacing w:after="120" w:line="280" w:lineRule="atLeast"/>
      <w:jc w:val="both"/>
    </w:pPr>
    <w:rPr>
      <w:rFonts w:ascii="Tahoma" w:eastAsia="Tahoma" w:hAnsi="Tahoma"/>
      <w:color w:val="3E3D40"/>
      <w:sz w:val="20"/>
      <w:szCs w:val="20"/>
      <w:lang w:val="fr-CH"/>
    </w:rPr>
  </w:style>
  <w:style w:type="paragraph" w:styleId="Heading1">
    <w:name w:val="heading 1"/>
    <w:basedOn w:val="Normal"/>
    <w:link w:val="Heading1Char"/>
    <w:uiPriority w:val="9"/>
    <w:qFormat/>
    <w:rsid w:val="00530257"/>
    <w:pPr>
      <w:numPr>
        <w:numId w:val="3"/>
      </w:numPr>
      <w:tabs>
        <w:tab w:val="left" w:pos="567"/>
      </w:tabs>
      <w:spacing w:before="360" w:after="240"/>
      <w:outlineLvl w:val="0"/>
    </w:pPr>
    <w:rPr>
      <w:caps/>
      <w:color w:val="00B2DD"/>
      <w:sz w:val="24"/>
      <w:szCs w:val="24"/>
    </w:rPr>
  </w:style>
  <w:style w:type="paragraph" w:styleId="Heading2">
    <w:name w:val="heading 2"/>
    <w:basedOn w:val="BodyText"/>
    <w:uiPriority w:val="9"/>
    <w:qFormat/>
    <w:rsid w:val="005369CD"/>
    <w:pPr>
      <w:numPr>
        <w:ilvl w:val="1"/>
        <w:numId w:val="3"/>
      </w:numPr>
      <w:tabs>
        <w:tab w:val="left" w:pos="567"/>
      </w:tabs>
      <w:spacing w:before="240" w:after="240"/>
      <w:ind w:left="576"/>
      <w:outlineLvl w:val="1"/>
    </w:pPr>
    <w:rPr>
      <w:b/>
    </w:rPr>
  </w:style>
  <w:style w:type="paragraph" w:styleId="Heading3">
    <w:name w:val="heading 3"/>
    <w:basedOn w:val="Titretableau"/>
    <w:next w:val="Normal"/>
    <w:link w:val="Heading3Char"/>
    <w:uiPriority w:val="9"/>
    <w:unhideWhenUsed/>
    <w:qFormat/>
    <w:rsid w:val="002867E7"/>
    <w:pPr>
      <w:numPr>
        <w:ilvl w:val="2"/>
        <w:numId w:val="3"/>
      </w:numPr>
      <w:spacing w:before="240" w:after="240"/>
      <w:ind w:left="578" w:hanging="578"/>
      <w:jc w:val="left"/>
      <w:outlineLvl w:val="2"/>
    </w:pPr>
    <w:rPr>
      <w:b w:val="0"/>
      <w:sz w:val="20"/>
    </w:rPr>
  </w:style>
  <w:style w:type="paragraph" w:styleId="Heading4">
    <w:name w:val="heading 4"/>
    <w:basedOn w:val="ListParagraph"/>
    <w:next w:val="Normal"/>
    <w:link w:val="Heading4Char"/>
    <w:uiPriority w:val="9"/>
    <w:unhideWhenUsed/>
    <w:qFormat/>
    <w:rsid w:val="008B7D13"/>
    <w:pPr>
      <w:numPr>
        <w:numId w:val="4"/>
      </w:numPr>
      <w:outlineLvl w:val="3"/>
    </w:pPr>
  </w:style>
  <w:style w:type="paragraph" w:styleId="Heading5">
    <w:name w:val="heading 5"/>
    <w:basedOn w:val="Normal"/>
    <w:next w:val="Normal"/>
    <w:link w:val="Heading5Char"/>
    <w:uiPriority w:val="9"/>
    <w:unhideWhenUsed/>
    <w:qFormat/>
    <w:rsid w:val="008B7D13"/>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B7D13"/>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B7D13"/>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7D1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B7D1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7"/>
    </w:pPr>
  </w:style>
  <w:style w:type="paragraph" w:styleId="ListParagraph">
    <w:name w:val="List Paragraph"/>
    <w:basedOn w:val="Normal"/>
    <w:link w:val="ListParagraphChar"/>
    <w:uiPriority w:val="34"/>
    <w:qFormat/>
  </w:style>
  <w:style w:type="paragraph" w:customStyle="1" w:styleId="TableParagraph">
    <w:name w:val="Table Paragraph"/>
    <w:basedOn w:val="Normal"/>
    <w:link w:val="TableParagraphChar"/>
    <w:uiPriority w:val="1"/>
    <w:qFormat/>
    <w:rsid w:val="00672FEC"/>
    <w:pPr>
      <w:ind w:left="567"/>
    </w:pPr>
  </w:style>
  <w:style w:type="character" w:styleId="Hyperlink">
    <w:name w:val="Hyperlink"/>
    <w:basedOn w:val="DefaultParagraphFont"/>
    <w:uiPriority w:val="99"/>
    <w:unhideWhenUsed/>
    <w:rsid w:val="00E274F4"/>
    <w:rPr>
      <w:color w:val="0000FF" w:themeColor="hyperlink"/>
      <w:u w:val="single"/>
    </w:rPr>
  </w:style>
  <w:style w:type="table" w:styleId="TableGrid">
    <w:name w:val="Table Grid"/>
    <w:aliases w:val="_SSL_TableGrid"/>
    <w:basedOn w:val="TableNormal"/>
    <w:uiPriority w:val="59"/>
    <w:rsid w:val="00AF4F53"/>
    <w:pPr>
      <w:widowControl/>
    </w:pPr>
    <w:rPr>
      <w:rFonts w:ascii="Times New Roman" w:eastAsia="Calibri"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865922"/>
    <w:pPr>
      <w:widowControl/>
      <w:spacing w:line="264" w:lineRule="exact"/>
    </w:pPr>
    <w:rPr>
      <w:rFonts w:eastAsia="Calibri" w:cs="Tahoma"/>
      <w:color w:val="FF0000"/>
      <w:szCs w:val="22"/>
      <w:lang w:val="fr-FR" w:eastAsia="fr-FR" w:bidi="fr-FR"/>
    </w:rPr>
  </w:style>
  <w:style w:type="paragraph" w:customStyle="1" w:styleId="Informationsdossier">
    <w:name w:val="Informations dossier"/>
    <w:basedOn w:val="Normal"/>
    <w:qFormat/>
    <w:rsid w:val="00A735AA"/>
    <w:pPr>
      <w:widowControl/>
      <w:jc w:val="right"/>
    </w:pPr>
    <w:rPr>
      <w:rFonts w:cs="Tahoma"/>
      <w:sz w:val="18"/>
      <w:lang w:eastAsia="fr-FR" w:bidi="fr-FR"/>
    </w:rPr>
  </w:style>
  <w:style w:type="character" w:customStyle="1" w:styleId="Textebold">
    <w:name w:val="Texte bold"/>
    <w:basedOn w:val="DefaultParagraphFont"/>
    <w:uiPriority w:val="1"/>
    <w:qFormat/>
    <w:rsid w:val="00D05AF2"/>
    <w:rPr>
      <w:b/>
    </w:rPr>
  </w:style>
  <w:style w:type="paragraph" w:customStyle="1" w:styleId="LieuetDate">
    <w:name w:val="Lieu et Date"/>
    <w:basedOn w:val="Normal"/>
    <w:qFormat/>
    <w:rsid w:val="00AF4F53"/>
    <w:pPr>
      <w:widowControl/>
      <w:spacing w:line="216" w:lineRule="exact"/>
      <w:jc w:val="right"/>
    </w:pPr>
    <w:rPr>
      <w:color w:val="1F497D" w:themeColor="text2"/>
      <w:lang w:val="fr-FR"/>
    </w:rPr>
  </w:style>
  <w:style w:type="paragraph" w:customStyle="1" w:styleId="Intitulobjet">
    <w:name w:val="Intitulé objet"/>
    <w:basedOn w:val="Normal"/>
    <w:qFormat/>
    <w:rsid w:val="00AF4F53"/>
    <w:pPr>
      <w:widowControl/>
      <w:spacing w:line="240" w:lineRule="exact"/>
    </w:pPr>
    <w:rPr>
      <w:color w:val="1F497D" w:themeColor="text2"/>
      <w:lang w:val="fr-FR"/>
    </w:rPr>
  </w:style>
  <w:style w:type="paragraph" w:customStyle="1" w:styleId="Texte">
    <w:name w:val="Texte"/>
    <w:basedOn w:val="Normal"/>
    <w:link w:val="TexteChar"/>
    <w:qFormat/>
    <w:rsid w:val="00A735AA"/>
    <w:pPr>
      <w:spacing w:before="240" w:line="260" w:lineRule="atLeast"/>
      <w:ind w:left="720"/>
      <w:outlineLvl w:val="1"/>
    </w:pPr>
    <w:rPr>
      <w:rFonts w:eastAsia="Calibri" w:cs="Times New Roman"/>
      <w:color w:val="auto"/>
      <w:sz w:val="18"/>
      <w:lang w:val="fr-FR" w:eastAsia="fr-FR" w:bidi="fr-FR"/>
    </w:rPr>
  </w:style>
  <w:style w:type="character" w:customStyle="1" w:styleId="ListParagraphChar">
    <w:name w:val="List Paragraph Char"/>
    <w:basedOn w:val="DefaultParagraphFont"/>
    <w:link w:val="ListParagraph"/>
    <w:uiPriority w:val="34"/>
    <w:rsid w:val="00AF4F53"/>
  </w:style>
  <w:style w:type="character" w:customStyle="1" w:styleId="Heading4Char">
    <w:name w:val="Heading 4 Char"/>
    <w:basedOn w:val="DefaultParagraphFont"/>
    <w:link w:val="Heading4"/>
    <w:uiPriority w:val="9"/>
    <w:rsid w:val="008B7D13"/>
    <w:rPr>
      <w:rFonts w:ascii="Tahoma" w:eastAsia="Tahoma" w:hAnsi="Tahoma"/>
      <w:color w:val="3E3D40"/>
      <w:sz w:val="20"/>
      <w:szCs w:val="20"/>
      <w:lang w:val="fr-CH"/>
    </w:rPr>
  </w:style>
  <w:style w:type="character" w:customStyle="1" w:styleId="TexteChar">
    <w:name w:val="Texte Char"/>
    <w:basedOn w:val="DefaultParagraphFont"/>
    <w:link w:val="Texte"/>
    <w:rsid w:val="00A735AA"/>
    <w:rPr>
      <w:rFonts w:ascii="Tahoma" w:eastAsia="Calibri" w:hAnsi="Tahoma" w:cs="Times New Roman"/>
      <w:sz w:val="18"/>
      <w:szCs w:val="20"/>
      <w:lang w:val="fr-FR" w:eastAsia="fr-FR" w:bidi="fr-FR"/>
    </w:rPr>
  </w:style>
  <w:style w:type="paragraph" w:styleId="Header">
    <w:name w:val="header"/>
    <w:basedOn w:val="Normal"/>
    <w:link w:val="HeaderChar"/>
    <w:uiPriority w:val="99"/>
    <w:unhideWhenUsed/>
    <w:rsid w:val="00F86910"/>
    <w:pPr>
      <w:tabs>
        <w:tab w:val="center" w:pos="4680"/>
        <w:tab w:val="right" w:pos="9360"/>
      </w:tabs>
      <w:spacing w:line="240" w:lineRule="auto"/>
    </w:pPr>
    <w:rPr>
      <w:sz w:val="16"/>
    </w:rPr>
  </w:style>
  <w:style w:type="character" w:customStyle="1" w:styleId="HeaderChar">
    <w:name w:val="Header Char"/>
    <w:basedOn w:val="DefaultParagraphFont"/>
    <w:link w:val="Header"/>
    <w:uiPriority w:val="99"/>
    <w:rsid w:val="00F86910"/>
    <w:rPr>
      <w:rFonts w:ascii="Tahoma" w:eastAsia="Tahoma" w:hAnsi="Tahoma"/>
      <w:color w:val="737373"/>
      <w:sz w:val="16"/>
      <w:szCs w:val="20"/>
      <w:lang w:val="fr-CH"/>
    </w:rPr>
  </w:style>
  <w:style w:type="paragraph" w:styleId="Footer">
    <w:name w:val="footer"/>
    <w:basedOn w:val="Normal"/>
    <w:link w:val="FooterChar"/>
    <w:uiPriority w:val="99"/>
    <w:unhideWhenUsed/>
    <w:rsid w:val="00270673"/>
    <w:pPr>
      <w:tabs>
        <w:tab w:val="center" w:pos="4513"/>
        <w:tab w:val="right" w:pos="9026"/>
      </w:tabs>
      <w:spacing w:line="240" w:lineRule="auto"/>
      <w:jc w:val="left"/>
    </w:pPr>
    <w:rPr>
      <w:rFonts w:ascii="Museo Sans 300" w:hAnsi="Museo Sans 300"/>
      <w:sz w:val="14"/>
    </w:rPr>
  </w:style>
  <w:style w:type="character" w:customStyle="1" w:styleId="FooterChar">
    <w:name w:val="Footer Char"/>
    <w:basedOn w:val="DefaultParagraphFont"/>
    <w:link w:val="Footer"/>
    <w:uiPriority w:val="99"/>
    <w:rsid w:val="00270673"/>
    <w:rPr>
      <w:rFonts w:ascii="Museo Sans 300" w:eastAsia="Tahoma" w:hAnsi="Museo Sans 300"/>
      <w:color w:val="3E3D40"/>
      <w:sz w:val="14"/>
      <w:szCs w:val="20"/>
      <w:lang w:val="fr-CH"/>
    </w:rPr>
  </w:style>
  <w:style w:type="paragraph" w:customStyle="1" w:styleId="bullet">
    <w:name w:val="bullet"/>
    <w:basedOn w:val="ListParagraph"/>
    <w:link w:val="bulletChar"/>
    <w:uiPriority w:val="1"/>
    <w:qFormat/>
    <w:rsid w:val="00672FEC"/>
    <w:pPr>
      <w:numPr>
        <w:numId w:val="2"/>
      </w:numPr>
      <w:spacing w:after="60"/>
    </w:pPr>
    <w:rPr>
      <w:lang w:eastAsia="en-GB" w:bidi="en-GB"/>
    </w:rPr>
  </w:style>
  <w:style w:type="paragraph" w:styleId="Title">
    <w:name w:val="Title"/>
    <w:basedOn w:val="Normal"/>
    <w:next w:val="Normal"/>
    <w:link w:val="TitleChar"/>
    <w:uiPriority w:val="10"/>
    <w:qFormat/>
    <w:rsid w:val="00743E71"/>
    <w:pPr>
      <w:spacing w:line="300" w:lineRule="atLeast"/>
      <w:ind w:left="142"/>
      <w:jc w:val="center"/>
    </w:pPr>
    <w:rPr>
      <w:color w:val="595959"/>
      <w:sz w:val="64"/>
    </w:rPr>
  </w:style>
  <w:style w:type="character" w:customStyle="1" w:styleId="TitleChar">
    <w:name w:val="Title Char"/>
    <w:basedOn w:val="DefaultParagraphFont"/>
    <w:link w:val="Title"/>
    <w:uiPriority w:val="10"/>
    <w:rsid w:val="00743E71"/>
    <w:rPr>
      <w:rFonts w:ascii="Tahoma" w:eastAsia="Tahoma" w:hAnsi="Tahoma"/>
      <w:color w:val="595959"/>
      <w:sz w:val="64"/>
      <w:szCs w:val="20"/>
      <w:lang w:val="fr-CH"/>
    </w:rPr>
  </w:style>
  <w:style w:type="paragraph" w:styleId="NoSpacing">
    <w:name w:val="No Spacing"/>
    <w:basedOn w:val="Normal"/>
    <w:uiPriority w:val="1"/>
    <w:qFormat/>
    <w:rsid w:val="00A2030E"/>
    <w:pPr>
      <w:widowControl/>
    </w:pPr>
    <w:rPr>
      <w:rFonts w:cs="Times New Roman"/>
      <w:lang w:eastAsia="fr-FR" w:bidi="fr-FR"/>
    </w:rPr>
  </w:style>
  <w:style w:type="paragraph" w:customStyle="1" w:styleId="bulletjuridique">
    <w:name w:val="bullet juridique"/>
    <w:basedOn w:val="BodyText"/>
    <w:uiPriority w:val="1"/>
    <w:qFormat/>
    <w:rsid w:val="00E25C4F"/>
    <w:pPr>
      <w:numPr>
        <w:numId w:val="1"/>
      </w:numPr>
      <w:ind w:left="1305"/>
    </w:pPr>
  </w:style>
  <w:style w:type="character" w:styleId="CommentReference">
    <w:name w:val="annotation reference"/>
    <w:basedOn w:val="DefaultParagraphFont"/>
    <w:uiPriority w:val="99"/>
    <w:unhideWhenUsed/>
    <w:rsid w:val="001E32D4"/>
    <w:rPr>
      <w:sz w:val="16"/>
      <w:szCs w:val="16"/>
    </w:rPr>
  </w:style>
  <w:style w:type="paragraph" w:styleId="CommentText">
    <w:name w:val="annotation text"/>
    <w:basedOn w:val="Normal"/>
    <w:link w:val="CommentTextChar"/>
    <w:unhideWhenUsed/>
    <w:rsid w:val="001E32D4"/>
    <w:pPr>
      <w:spacing w:line="240" w:lineRule="auto"/>
    </w:pPr>
  </w:style>
  <w:style w:type="character" w:customStyle="1" w:styleId="CommentTextChar">
    <w:name w:val="Comment Text Char"/>
    <w:basedOn w:val="DefaultParagraphFont"/>
    <w:link w:val="CommentText"/>
    <w:rsid w:val="001E32D4"/>
    <w:rPr>
      <w:rFonts w:ascii="Tahoma" w:eastAsia="Tahoma" w:hAnsi="Tahoma"/>
      <w:color w:val="737373"/>
      <w:sz w:val="20"/>
      <w:szCs w:val="20"/>
      <w:lang w:val="fr-CH"/>
    </w:rPr>
  </w:style>
  <w:style w:type="paragraph" w:styleId="CommentSubject">
    <w:name w:val="annotation subject"/>
    <w:basedOn w:val="CommentText"/>
    <w:next w:val="CommentText"/>
    <w:link w:val="CommentSubjectChar"/>
    <w:uiPriority w:val="99"/>
    <w:semiHidden/>
    <w:unhideWhenUsed/>
    <w:rsid w:val="001E32D4"/>
    <w:rPr>
      <w:b/>
      <w:bCs/>
    </w:rPr>
  </w:style>
  <w:style w:type="character" w:customStyle="1" w:styleId="CommentSubjectChar">
    <w:name w:val="Comment Subject Char"/>
    <w:basedOn w:val="CommentTextChar"/>
    <w:link w:val="CommentSubject"/>
    <w:uiPriority w:val="99"/>
    <w:semiHidden/>
    <w:rsid w:val="001E32D4"/>
    <w:rPr>
      <w:rFonts w:ascii="Tahoma" w:eastAsia="Tahoma" w:hAnsi="Tahoma"/>
      <w:b/>
      <w:bCs/>
      <w:color w:val="737373"/>
      <w:sz w:val="20"/>
      <w:szCs w:val="20"/>
      <w:lang w:val="fr-CH"/>
    </w:rPr>
  </w:style>
  <w:style w:type="paragraph" w:styleId="BalloonText">
    <w:name w:val="Balloon Text"/>
    <w:basedOn w:val="Normal"/>
    <w:link w:val="BalloonTextChar"/>
    <w:uiPriority w:val="99"/>
    <w:semiHidden/>
    <w:unhideWhenUsed/>
    <w:rsid w:val="001E3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D4"/>
    <w:rPr>
      <w:rFonts w:ascii="Segoe UI" w:eastAsia="Tahoma" w:hAnsi="Segoe UI" w:cs="Segoe UI"/>
      <w:color w:val="737373"/>
      <w:sz w:val="18"/>
      <w:szCs w:val="18"/>
      <w:lang w:val="fr-CH"/>
    </w:rPr>
  </w:style>
  <w:style w:type="character" w:customStyle="1" w:styleId="Heading5Char">
    <w:name w:val="Heading 5 Char"/>
    <w:basedOn w:val="DefaultParagraphFont"/>
    <w:link w:val="Heading5"/>
    <w:uiPriority w:val="9"/>
    <w:rsid w:val="008B7D13"/>
    <w:rPr>
      <w:rFonts w:asciiTheme="majorHAnsi" w:eastAsiaTheme="majorEastAsia" w:hAnsiTheme="majorHAnsi" w:cstheme="majorBidi"/>
      <w:color w:val="365F91" w:themeColor="accent1" w:themeShade="BF"/>
      <w:sz w:val="20"/>
      <w:szCs w:val="20"/>
      <w:lang w:val="fr-CH"/>
    </w:rPr>
  </w:style>
  <w:style w:type="character" w:customStyle="1" w:styleId="Heading6Char">
    <w:name w:val="Heading 6 Char"/>
    <w:basedOn w:val="DefaultParagraphFont"/>
    <w:link w:val="Heading6"/>
    <w:uiPriority w:val="9"/>
    <w:rsid w:val="008B7D13"/>
    <w:rPr>
      <w:rFonts w:asciiTheme="majorHAnsi" w:eastAsiaTheme="majorEastAsia" w:hAnsiTheme="majorHAnsi" w:cstheme="majorBidi"/>
      <w:color w:val="243F60" w:themeColor="accent1" w:themeShade="7F"/>
      <w:sz w:val="20"/>
      <w:szCs w:val="20"/>
      <w:lang w:val="fr-CH"/>
    </w:rPr>
  </w:style>
  <w:style w:type="character" w:customStyle="1" w:styleId="Heading7Char">
    <w:name w:val="Heading 7 Char"/>
    <w:basedOn w:val="DefaultParagraphFont"/>
    <w:link w:val="Heading7"/>
    <w:uiPriority w:val="9"/>
    <w:rsid w:val="008B7D13"/>
    <w:rPr>
      <w:rFonts w:asciiTheme="majorHAnsi" w:eastAsiaTheme="majorEastAsia" w:hAnsiTheme="majorHAnsi" w:cstheme="majorBidi"/>
      <w:i/>
      <w:iCs/>
      <w:color w:val="243F60" w:themeColor="accent1" w:themeShade="7F"/>
      <w:sz w:val="20"/>
      <w:szCs w:val="20"/>
      <w:lang w:val="fr-CH"/>
    </w:rPr>
  </w:style>
  <w:style w:type="paragraph" w:customStyle="1" w:styleId="Titretableau">
    <w:name w:val="Titre tableau"/>
    <w:basedOn w:val="Normal"/>
    <w:uiPriority w:val="1"/>
    <w:qFormat/>
    <w:rsid w:val="00F61A5D"/>
    <w:pPr>
      <w:widowControl/>
      <w:spacing w:after="0"/>
      <w:jc w:val="center"/>
    </w:pPr>
    <w:rPr>
      <w:rFonts w:cs="Tahoma"/>
      <w:b/>
      <w:color w:val="00A6D4"/>
      <w:sz w:val="18"/>
      <w:lang w:eastAsia="fr-FR" w:bidi="fr-FR"/>
    </w:rPr>
  </w:style>
  <w:style w:type="paragraph" w:customStyle="1" w:styleId="texte2">
    <w:name w:val="texte2"/>
    <w:basedOn w:val="Texte"/>
    <w:link w:val="texte2Char"/>
    <w:qFormat/>
    <w:rsid w:val="00A735AA"/>
    <w:pPr>
      <w:ind w:left="-62"/>
    </w:pPr>
    <w:rPr>
      <w:color w:val="3E3D40"/>
      <w:szCs w:val="22"/>
    </w:rPr>
  </w:style>
  <w:style w:type="character" w:customStyle="1" w:styleId="texte2Char">
    <w:name w:val="texte2 Char"/>
    <w:basedOn w:val="TexteChar"/>
    <w:link w:val="texte2"/>
    <w:rsid w:val="00A735AA"/>
    <w:rPr>
      <w:rFonts w:ascii="Tahoma" w:eastAsia="Calibri" w:hAnsi="Tahoma" w:cs="Times New Roman"/>
      <w:color w:val="3E3D40"/>
      <w:sz w:val="18"/>
      <w:szCs w:val="20"/>
      <w:lang w:val="fr-FR" w:eastAsia="fr-FR" w:bidi="fr-FR"/>
    </w:rPr>
  </w:style>
  <w:style w:type="character" w:customStyle="1" w:styleId="Heading3Char">
    <w:name w:val="Heading 3 Char"/>
    <w:basedOn w:val="DefaultParagraphFont"/>
    <w:link w:val="Heading3"/>
    <w:uiPriority w:val="9"/>
    <w:rsid w:val="002867E7"/>
    <w:rPr>
      <w:rFonts w:ascii="Tahoma" w:eastAsia="Tahoma" w:hAnsi="Tahoma" w:cs="Tahoma"/>
      <w:color w:val="00A6D4"/>
      <w:sz w:val="20"/>
      <w:szCs w:val="20"/>
      <w:lang w:val="fr-CH" w:eastAsia="fr-FR" w:bidi="fr-FR"/>
    </w:rPr>
  </w:style>
  <w:style w:type="character" w:styleId="PlaceholderText">
    <w:name w:val="Placeholder Text"/>
    <w:basedOn w:val="DefaultParagraphFont"/>
    <w:uiPriority w:val="99"/>
    <w:semiHidden/>
    <w:rsid w:val="002A08FC"/>
    <w:rPr>
      <w:color w:val="808080"/>
    </w:rPr>
  </w:style>
  <w:style w:type="character" w:customStyle="1" w:styleId="Heading8Char">
    <w:name w:val="Heading 8 Char"/>
    <w:basedOn w:val="DefaultParagraphFont"/>
    <w:link w:val="Heading8"/>
    <w:uiPriority w:val="9"/>
    <w:rsid w:val="008B7D1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rsid w:val="008B7D13"/>
    <w:rPr>
      <w:rFonts w:asciiTheme="majorHAnsi" w:eastAsiaTheme="majorEastAsia" w:hAnsiTheme="majorHAnsi" w:cstheme="majorBidi"/>
      <w:i/>
      <w:iCs/>
      <w:color w:val="272727" w:themeColor="text1" w:themeTint="D8"/>
      <w:sz w:val="21"/>
      <w:szCs w:val="21"/>
      <w:lang w:val="fr-CH"/>
    </w:rPr>
  </w:style>
  <w:style w:type="paragraph" w:styleId="TOCHeading">
    <w:name w:val="TOC Heading"/>
    <w:basedOn w:val="Heading1"/>
    <w:next w:val="Normal"/>
    <w:uiPriority w:val="39"/>
    <w:unhideWhenUsed/>
    <w:qFormat/>
    <w:rsid w:val="002B3646"/>
    <w:pPr>
      <w:keepNext/>
      <w:keepLines/>
      <w:widowControl/>
      <w:numPr>
        <w:numId w:val="0"/>
      </w:numPr>
      <w:tabs>
        <w:tab w:val="clear" w:pos="567"/>
      </w:tabs>
      <w:spacing w:before="240" w:after="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 w:type="paragraph" w:styleId="TOC1">
    <w:name w:val="toc 1"/>
    <w:basedOn w:val="Normal"/>
    <w:next w:val="Normal"/>
    <w:autoRedefine/>
    <w:uiPriority w:val="39"/>
    <w:unhideWhenUsed/>
    <w:rsid w:val="002438FE"/>
    <w:pPr>
      <w:tabs>
        <w:tab w:val="left" w:pos="400"/>
        <w:tab w:val="right" w:leader="dot" w:pos="9632"/>
      </w:tabs>
      <w:spacing w:after="100"/>
    </w:pPr>
    <w:rPr>
      <w:b/>
    </w:rPr>
  </w:style>
  <w:style w:type="paragraph" w:styleId="TOC2">
    <w:name w:val="toc 2"/>
    <w:basedOn w:val="Normal"/>
    <w:next w:val="Normal"/>
    <w:autoRedefine/>
    <w:uiPriority w:val="39"/>
    <w:unhideWhenUsed/>
    <w:rsid w:val="002B3646"/>
    <w:pPr>
      <w:spacing w:after="100"/>
      <w:ind w:left="200"/>
    </w:pPr>
  </w:style>
  <w:style w:type="paragraph" w:styleId="TOC3">
    <w:name w:val="toc 3"/>
    <w:basedOn w:val="Normal"/>
    <w:next w:val="Normal"/>
    <w:autoRedefine/>
    <w:uiPriority w:val="39"/>
    <w:unhideWhenUsed/>
    <w:rsid w:val="002438FE"/>
    <w:pPr>
      <w:spacing w:after="100"/>
      <w:ind w:left="400"/>
    </w:pPr>
    <w:rPr>
      <w:sz w:val="18"/>
    </w:rPr>
  </w:style>
  <w:style w:type="paragraph" w:customStyle="1" w:styleId="AOAnxTitle">
    <w:name w:val="AOAnxTitle"/>
    <w:basedOn w:val="Normal"/>
    <w:next w:val="Normal"/>
    <w:rsid w:val="00530257"/>
    <w:pPr>
      <w:widowControl/>
      <w:spacing w:before="240" w:line="260" w:lineRule="atLeast"/>
      <w:jc w:val="center"/>
      <w:outlineLvl w:val="1"/>
    </w:pPr>
    <w:rPr>
      <w:rFonts w:ascii="Times New Roman" w:eastAsia="Calibri" w:hAnsi="Times New Roman" w:cs="Times New Roman"/>
      <w:b/>
      <w:caps/>
      <w:color w:val="auto"/>
      <w:sz w:val="22"/>
      <w:szCs w:val="22"/>
      <w:lang w:val="fr-FR" w:eastAsia="fr-FR" w:bidi="fr-FR"/>
    </w:rPr>
  </w:style>
  <w:style w:type="character" w:customStyle="1" w:styleId="Heading1Char">
    <w:name w:val="Heading 1 Char"/>
    <w:basedOn w:val="DefaultParagraphFont"/>
    <w:link w:val="Heading1"/>
    <w:uiPriority w:val="9"/>
    <w:rsid w:val="00C116D4"/>
    <w:rPr>
      <w:rFonts w:ascii="Tahoma" w:eastAsia="Tahoma" w:hAnsi="Tahoma"/>
      <w:caps/>
      <w:color w:val="00B2DD"/>
      <w:sz w:val="24"/>
      <w:szCs w:val="24"/>
      <w:lang w:val="fr-CH"/>
    </w:rPr>
  </w:style>
  <w:style w:type="paragraph" w:styleId="Caption">
    <w:name w:val="caption"/>
    <w:basedOn w:val="Normal"/>
    <w:next w:val="Normal"/>
    <w:uiPriority w:val="35"/>
    <w:unhideWhenUsed/>
    <w:qFormat/>
    <w:rsid w:val="00C116D4"/>
    <w:pPr>
      <w:widowControl/>
      <w:spacing w:after="200" w:line="240" w:lineRule="auto"/>
    </w:pPr>
    <w:rPr>
      <w:rFonts w:eastAsiaTheme="minorHAnsi"/>
      <w:i/>
      <w:iCs/>
      <w:color w:val="1F497D" w:themeColor="text2"/>
      <w:sz w:val="18"/>
      <w:szCs w:val="18"/>
      <w:lang w:val="fr-FR" w:eastAsia="fr-FR" w:bidi="fr-FR"/>
    </w:rPr>
  </w:style>
  <w:style w:type="table" w:customStyle="1" w:styleId="SSLTableGrid1">
    <w:name w:val="_SSL_TableGrid1"/>
    <w:basedOn w:val="TableNormal"/>
    <w:next w:val="TableGrid"/>
    <w:uiPriority w:val="59"/>
    <w:rsid w:val="00C116D4"/>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735AA"/>
    <w:pPr>
      <w:widowControl/>
      <w:spacing w:line="240" w:lineRule="auto"/>
    </w:pPr>
    <w:rPr>
      <w:rFonts w:eastAsia="Calibri"/>
      <w:sz w:val="16"/>
      <w:lang w:val="fr-FR" w:eastAsia="fr-FR" w:bidi="fr-FR"/>
    </w:rPr>
  </w:style>
  <w:style w:type="character" w:customStyle="1" w:styleId="FootnoteTextChar">
    <w:name w:val="Footnote Text Char"/>
    <w:basedOn w:val="DefaultParagraphFont"/>
    <w:link w:val="FootnoteText"/>
    <w:uiPriority w:val="99"/>
    <w:rsid w:val="00A735AA"/>
    <w:rPr>
      <w:rFonts w:ascii="Tahoma" w:eastAsia="Calibri" w:hAnsi="Tahoma"/>
      <w:color w:val="3E3D40"/>
      <w:sz w:val="16"/>
      <w:szCs w:val="20"/>
      <w:lang w:val="fr-FR" w:eastAsia="fr-FR" w:bidi="fr-FR"/>
    </w:rPr>
  </w:style>
  <w:style w:type="character" w:styleId="FootnoteReference">
    <w:name w:val="footnote reference"/>
    <w:basedOn w:val="DefaultParagraphFont"/>
    <w:uiPriority w:val="99"/>
    <w:semiHidden/>
    <w:unhideWhenUsed/>
    <w:rsid w:val="00C116D4"/>
    <w:rPr>
      <w:vertAlign w:val="superscript"/>
    </w:rPr>
  </w:style>
  <w:style w:type="table" w:customStyle="1" w:styleId="SSLTableGrid2">
    <w:name w:val="_SSL_TableGrid2"/>
    <w:basedOn w:val="TableNormal"/>
    <w:next w:val="TableGrid"/>
    <w:uiPriority w:val="59"/>
    <w:rsid w:val="00613CD7"/>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bleau">
    <w:name w:val="Bullet_tableau"/>
    <w:basedOn w:val="bullet"/>
    <w:link w:val="BullettableauChar"/>
    <w:uiPriority w:val="1"/>
    <w:qFormat/>
    <w:rsid w:val="00A735AA"/>
    <w:pPr>
      <w:widowControl/>
    </w:pPr>
    <w:rPr>
      <w:sz w:val="18"/>
      <w:lang w:eastAsia="fr-FR" w:bidi="fr-FR"/>
    </w:rPr>
  </w:style>
  <w:style w:type="paragraph" w:customStyle="1" w:styleId="FormatvorlageArialVor6ptNach6ptZeilenabstandMehrere115">
    <w:name w:val="Formatvorlage Arial Vor:  6 pt Nach:  6 pt Zeilenabstand:  Mehrere 115 ..."/>
    <w:basedOn w:val="Normal"/>
    <w:rsid w:val="00672FEC"/>
    <w:pPr>
      <w:widowControl/>
      <w:spacing w:before="120" w:line="276" w:lineRule="auto"/>
      <w:jc w:val="left"/>
    </w:pPr>
    <w:rPr>
      <w:rFonts w:ascii="Arial" w:eastAsia="Times New Roman" w:hAnsi="Arial" w:cs="Arial"/>
      <w:color w:val="auto"/>
      <w:lang w:val="fr-FR" w:eastAsia="fr-FR" w:bidi="fr-FR"/>
    </w:rPr>
  </w:style>
  <w:style w:type="character" w:customStyle="1" w:styleId="bulletChar">
    <w:name w:val="bullet Char"/>
    <w:basedOn w:val="ListParagraphChar"/>
    <w:link w:val="bullet"/>
    <w:uiPriority w:val="1"/>
    <w:rsid w:val="00672FEC"/>
    <w:rPr>
      <w:rFonts w:ascii="Tahoma" w:eastAsia="Tahoma" w:hAnsi="Tahoma"/>
      <w:color w:val="3E3D40"/>
      <w:sz w:val="20"/>
      <w:szCs w:val="20"/>
      <w:lang w:val="fr-CH" w:eastAsia="en-GB" w:bidi="en-GB"/>
    </w:rPr>
  </w:style>
  <w:style w:type="character" w:customStyle="1" w:styleId="BullettableauChar">
    <w:name w:val="Bullet_tableau Char"/>
    <w:basedOn w:val="bulletChar"/>
    <w:link w:val="Bullettableau"/>
    <w:uiPriority w:val="1"/>
    <w:rsid w:val="00A735AA"/>
    <w:rPr>
      <w:rFonts w:ascii="Tahoma" w:eastAsia="Tahoma" w:hAnsi="Tahoma"/>
      <w:color w:val="3E3D40"/>
      <w:sz w:val="18"/>
      <w:szCs w:val="20"/>
      <w:lang w:val="fr-CH" w:eastAsia="fr-FR" w:bidi="fr-FR"/>
    </w:rPr>
  </w:style>
  <w:style w:type="paragraph" w:customStyle="1" w:styleId="bulletparagraph">
    <w:name w:val="bullet_paragraph"/>
    <w:basedOn w:val="bullet"/>
    <w:link w:val="bulletparagraphChar"/>
    <w:uiPriority w:val="1"/>
    <w:qFormat/>
    <w:rsid w:val="00672FEC"/>
    <w:pPr>
      <w:ind w:left="1021"/>
    </w:pPr>
  </w:style>
  <w:style w:type="paragraph" w:customStyle="1" w:styleId="Tableautexte">
    <w:name w:val="Tableau_texte"/>
    <w:basedOn w:val="Normal"/>
    <w:link w:val="TableautexteChar"/>
    <w:uiPriority w:val="1"/>
    <w:qFormat/>
    <w:rsid w:val="00D05AF2"/>
    <w:pPr>
      <w:widowControl/>
      <w:spacing w:after="0"/>
      <w:jc w:val="center"/>
    </w:pPr>
    <w:rPr>
      <w:rFonts w:cs="Times New Roman"/>
      <w:sz w:val="18"/>
      <w:lang w:val="en-GB" w:eastAsia="fr-FR" w:bidi="fr-FR"/>
    </w:rPr>
  </w:style>
  <w:style w:type="character" w:customStyle="1" w:styleId="bulletparagraphChar">
    <w:name w:val="bullet_paragraph Char"/>
    <w:basedOn w:val="bulletChar"/>
    <w:link w:val="bulletparagraph"/>
    <w:uiPriority w:val="1"/>
    <w:rsid w:val="00672FEC"/>
    <w:rPr>
      <w:rFonts w:ascii="Tahoma" w:eastAsia="Tahoma" w:hAnsi="Tahoma"/>
      <w:color w:val="3E3D40"/>
      <w:sz w:val="20"/>
      <w:szCs w:val="20"/>
      <w:lang w:val="fr-CH" w:eastAsia="en-GB" w:bidi="en-GB"/>
    </w:rPr>
  </w:style>
  <w:style w:type="paragraph" w:styleId="Revision">
    <w:name w:val="Revision"/>
    <w:hidden/>
    <w:uiPriority w:val="99"/>
    <w:semiHidden/>
    <w:rsid w:val="00682D17"/>
    <w:pPr>
      <w:widowControl/>
    </w:pPr>
    <w:rPr>
      <w:rFonts w:ascii="Tahoma" w:eastAsia="Tahoma" w:hAnsi="Tahoma"/>
      <w:color w:val="737373"/>
      <w:sz w:val="20"/>
      <w:szCs w:val="20"/>
      <w:lang w:val="fr-CH"/>
    </w:rPr>
  </w:style>
  <w:style w:type="character" w:customStyle="1" w:styleId="TableautexteChar">
    <w:name w:val="Tableau_texte Char"/>
    <w:basedOn w:val="DefaultParagraphFont"/>
    <w:link w:val="Tableautexte"/>
    <w:uiPriority w:val="1"/>
    <w:rsid w:val="00D05AF2"/>
    <w:rPr>
      <w:rFonts w:ascii="Tahoma" w:eastAsia="Tahoma" w:hAnsi="Tahoma" w:cs="Times New Roman"/>
      <w:color w:val="737373"/>
      <w:sz w:val="18"/>
      <w:szCs w:val="20"/>
      <w:lang w:val="en-GB" w:eastAsia="fr-FR" w:bidi="fr-FR"/>
    </w:rPr>
  </w:style>
  <w:style w:type="paragraph" w:customStyle="1" w:styleId="tableautexteBold">
    <w:name w:val="tableau_texte_Bold"/>
    <w:basedOn w:val="Normal"/>
    <w:link w:val="tableautexteBoldChar"/>
    <w:uiPriority w:val="1"/>
    <w:qFormat/>
    <w:rsid w:val="00D05AF2"/>
    <w:pPr>
      <w:widowControl/>
      <w:jc w:val="center"/>
    </w:pPr>
    <w:rPr>
      <w:b/>
      <w:sz w:val="18"/>
      <w:lang w:eastAsia="fr-FR" w:bidi="fr-FR"/>
    </w:rPr>
  </w:style>
  <w:style w:type="character" w:customStyle="1" w:styleId="tableautexteBoldChar">
    <w:name w:val="tableau_texte_Bold Char"/>
    <w:basedOn w:val="DefaultParagraphFont"/>
    <w:link w:val="tableautexteBold"/>
    <w:uiPriority w:val="1"/>
    <w:rsid w:val="00D05AF2"/>
    <w:rPr>
      <w:rFonts w:ascii="Tahoma" w:eastAsia="Tahoma" w:hAnsi="Tahoma"/>
      <w:b/>
      <w:color w:val="737373"/>
      <w:sz w:val="18"/>
      <w:szCs w:val="20"/>
      <w:lang w:val="fr-CH" w:eastAsia="fr-FR" w:bidi="fr-FR"/>
    </w:rPr>
  </w:style>
  <w:style w:type="paragraph" w:customStyle="1" w:styleId="FooterBold">
    <w:name w:val="Footer_Bold"/>
    <w:basedOn w:val="Normal"/>
    <w:link w:val="FooterBoldChar"/>
    <w:uiPriority w:val="1"/>
    <w:qFormat/>
    <w:rsid w:val="00270673"/>
    <w:pPr>
      <w:tabs>
        <w:tab w:val="center" w:pos="4513"/>
        <w:tab w:val="right" w:pos="9026"/>
      </w:tabs>
      <w:spacing w:after="0" w:line="240" w:lineRule="auto"/>
      <w:jc w:val="left"/>
    </w:pPr>
    <w:rPr>
      <w:rFonts w:ascii="Museo Sans 300" w:hAnsi="Museo Sans 300"/>
      <w:b/>
      <w:sz w:val="14"/>
    </w:rPr>
  </w:style>
  <w:style w:type="paragraph" w:customStyle="1" w:styleId="FooterItalic">
    <w:name w:val="Footer_Italic"/>
    <w:basedOn w:val="Footer"/>
    <w:link w:val="FooterItalicChar"/>
    <w:uiPriority w:val="1"/>
    <w:qFormat/>
    <w:rsid w:val="00270673"/>
    <w:pPr>
      <w:spacing w:after="0"/>
    </w:pPr>
    <w:rPr>
      <w:i/>
      <w:sz w:val="12"/>
      <w:lang w:val="pt-PT"/>
    </w:rPr>
  </w:style>
  <w:style w:type="character" w:customStyle="1" w:styleId="FooterBoldChar">
    <w:name w:val="Footer_Bold Char"/>
    <w:basedOn w:val="DefaultParagraphFont"/>
    <w:link w:val="FooterBold"/>
    <w:uiPriority w:val="1"/>
    <w:rsid w:val="00270673"/>
    <w:rPr>
      <w:rFonts w:ascii="Museo Sans 300" w:eastAsia="Tahoma" w:hAnsi="Museo Sans 300"/>
      <w:b/>
      <w:color w:val="3E3D40"/>
      <w:sz w:val="14"/>
      <w:szCs w:val="20"/>
      <w:lang w:val="fr-CH"/>
    </w:rPr>
  </w:style>
  <w:style w:type="character" w:customStyle="1" w:styleId="FooterItalicChar">
    <w:name w:val="Footer_Italic Char"/>
    <w:basedOn w:val="FooterChar"/>
    <w:link w:val="FooterItalic"/>
    <w:uiPriority w:val="1"/>
    <w:rsid w:val="00270673"/>
    <w:rPr>
      <w:rFonts w:ascii="Museo Sans 300" w:eastAsia="Tahoma" w:hAnsi="Museo Sans 300"/>
      <w:i/>
      <w:color w:val="3E3D40"/>
      <w:sz w:val="12"/>
      <w:szCs w:val="20"/>
      <w:lang w:val="pt-PT"/>
    </w:rPr>
  </w:style>
  <w:style w:type="paragraph" w:customStyle="1" w:styleId="AONormal">
    <w:name w:val="AONormal"/>
    <w:link w:val="AONormalChar"/>
    <w:rsid w:val="00AD3723"/>
    <w:pPr>
      <w:widowControl/>
      <w:spacing w:line="260" w:lineRule="atLeast"/>
    </w:pPr>
    <w:rPr>
      <w:rFonts w:ascii="Times New Roman" w:eastAsia="Calibri" w:hAnsi="Times New Roman" w:cs="Times New Roman"/>
      <w:lang w:val="fr-FR" w:eastAsia="fr-FR" w:bidi="fr-FR"/>
    </w:rPr>
  </w:style>
  <w:style w:type="character" w:customStyle="1" w:styleId="AONormalChar">
    <w:name w:val="AONormal Char"/>
    <w:basedOn w:val="DefaultParagraphFont"/>
    <w:link w:val="AONormal"/>
    <w:rsid w:val="00AD3723"/>
    <w:rPr>
      <w:rFonts w:ascii="Times New Roman" w:eastAsia="Calibri" w:hAnsi="Times New Roman" w:cs="Times New Roman"/>
      <w:lang w:val="fr-FR" w:eastAsia="fr-FR" w:bidi="fr-FR"/>
    </w:rPr>
  </w:style>
  <w:style w:type="paragraph" w:customStyle="1" w:styleId="Style4pucePD">
    <w:name w:val="Style4_puce_PD"/>
    <w:basedOn w:val="Normal"/>
    <w:link w:val="Style4pucePDChar"/>
    <w:qFormat/>
    <w:rsid w:val="00AD3723"/>
    <w:pPr>
      <w:keepNext/>
      <w:widowControl/>
      <w:numPr>
        <w:numId w:val="6"/>
      </w:numPr>
      <w:spacing w:after="40" w:line="240" w:lineRule="auto"/>
      <w:outlineLvl w:val="1"/>
    </w:pPr>
    <w:rPr>
      <w:rFonts w:eastAsia="Times New Roman" w:cs="Tahoma"/>
      <w:color w:val="595959" w:themeColor="text1" w:themeTint="A6"/>
      <w:sz w:val="18"/>
      <w:szCs w:val="24"/>
      <w:lang w:val="fr-LU"/>
    </w:rPr>
  </w:style>
  <w:style w:type="character" w:customStyle="1" w:styleId="Style4pucePDChar">
    <w:name w:val="Style4_puce_PD Char"/>
    <w:basedOn w:val="DefaultParagraphFont"/>
    <w:link w:val="Style4pucePD"/>
    <w:rsid w:val="00AD3723"/>
    <w:rPr>
      <w:rFonts w:ascii="Tahoma" w:eastAsia="Times New Roman" w:hAnsi="Tahoma" w:cs="Tahoma"/>
      <w:color w:val="595959" w:themeColor="text1" w:themeTint="A6"/>
      <w:sz w:val="18"/>
      <w:szCs w:val="24"/>
      <w:lang w:val="fr-LU"/>
    </w:rPr>
  </w:style>
  <w:style w:type="paragraph" w:customStyle="1" w:styleId="SetParagraphe2">
    <w:name w:val="Set_Paragraphe_2"/>
    <w:basedOn w:val="TableParagraph"/>
    <w:link w:val="SetParagraphe2Char"/>
    <w:uiPriority w:val="1"/>
    <w:qFormat/>
    <w:rsid w:val="00A735AA"/>
    <w:rPr>
      <w:lang w:val="en-US"/>
    </w:rPr>
  </w:style>
  <w:style w:type="paragraph" w:customStyle="1" w:styleId="Setbullet2">
    <w:name w:val="Set_bullet_2"/>
    <w:basedOn w:val="bullet"/>
    <w:link w:val="Setbullet2Char"/>
    <w:uiPriority w:val="1"/>
    <w:qFormat/>
    <w:rsid w:val="002867E7"/>
  </w:style>
  <w:style w:type="character" w:customStyle="1" w:styleId="TableParagraphChar">
    <w:name w:val="Table Paragraph Char"/>
    <w:basedOn w:val="DefaultParagraphFont"/>
    <w:link w:val="TableParagraph"/>
    <w:uiPriority w:val="1"/>
    <w:rsid w:val="002867E7"/>
    <w:rPr>
      <w:rFonts w:ascii="Tahoma" w:eastAsia="Tahoma" w:hAnsi="Tahoma"/>
      <w:color w:val="737373"/>
      <w:sz w:val="20"/>
      <w:szCs w:val="20"/>
      <w:lang w:val="fr-CH"/>
    </w:rPr>
  </w:style>
  <w:style w:type="character" w:customStyle="1" w:styleId="SetParagraphe2Char">
    <w:name w:val="Set_Paragraphe_2 Char"/>
    <w:basedOn w:val="TableParagraphChar"/>
    <w:link w:val="SetParagraphe2"/>
    <w:uiPriority w:val="1"/>
    <w:rsid w:val="00A735AA"/>
    <w:rPr>
      <w:rFonts w:ascii="Tahoma" w:eastAsia="Tahoma" w:hAnsi="Tahoma"/>
      <w:color w:val="3E3D40"/>
      <w:sz w:val="20"/>
      <w:szCs w:val="20"/>
      <w:lang w:val="fr-CH"/>
    </w:rPr>
  </w:style>
  <w:style w:type="paragraph" w:customStyle="1" w:styleId="SetParagraph1">
    <w:name w:val="Set_Paragraph_1"/>
    <w:basedOn w:val="Normal"/>
    <w:link w:val="SetParagraph1Char"/>
    <w:uiPriority w:val="1"/>
    <w:qFormat/>
    <w:rsid w:val="002867E7"/>
  </w:style>
  <w:style w:type="character" w:customStyle="1" w:styleId="Setbullet2Char">
    <w:name w:val="Set_bullet_2 Char"/>
    <w:basedOn w:val="bulletChar"/>
    <w:link w:val="Setbullet2"/>
    <w:uiPriority w:val="1"/>
    <w:rsid w:val="002867E7"/>
    <w:rPr>
      <w:rFonts w:ascii="Tahoma" w:eastAsia="Tahoma" w:hAnsi="Tahoma"/>
      <w:color w:val="3E3D40"/>
      <w:sz w:val="20"/>
      <w:szCs w:val="20"/>
      <w:lang w:val="fr-CH" w:eastAsia="en-GB" w:bidi="en-GB"/>
    </w:rPr>
  </w:style>
  <w:style w:type="character" w:customStyle="1" w:styleId="SetParagraph1Char">
    <w:name w:val="Set_Paragraph_1 Char"/>
    <w:basedOn w:val="DefaultParagraphFont"/>
    <w:link w:val="SetParagraph1"/>
    <w:uiPriority w:val="1"/>
    <w:rsid w:val="002867E7"/>
    <w:rPr>
      <w:rFonts w:ascii="Tahoma" w:eastAsia="Tahoma" w:hAnsi="Tahoma"/>
      <w:color w:val="737373"/>
      <w:sz w:val="20"/>
      <w:szCs w:val="20"/>
      <w:lang w:val="fr-CH"/>
    </w:rPr>
  </w:style>
  <w:style w:type="paragraph" w:customStyle="1" w:styleId="bullet2">
    <w:name w:val="bullet 2"/>
    <w:basedOn w:val="TableParagraph"/>
    <w:uiPriority w:val="1"/>
    <w:qFormat/>
    <w:rsid w:val="00116C59"/>
    <w:pPr>
      <w:numPr>
        <w:numId w:val="8"/>
      </w:numPr>
    </w:pPr>
    <w:rPr>
      <w:spacing w:val="-4"/>
    </w:rPr>
  </w:style>
  <w:style w:type="character" w:customStyle="1" w:styleId="tlid-translation">
    <w:name w:val="tlid-translation"/>
    <w:basedOn w:val="DefaultParagraphFont"/>
    <w:rsid w:val="00116C59"/>
  </w:style>
  <w:style w:type="character" w:customStyle="1" w:styleId="s1">
    <w:name w:val="s1"/>
    <w:basedOn w:val="DefaultParagraphFont"/>
    <w:rsid w:val="001C7CD0"/>
  </w:style>
  <w:style w:type="character" w:styleId="PageNumber">
    <w:name w:val="page number"/>
    <w:basedOn w:val="DefaultParagraphFont"/>
    <w:rsid w:val="00A364E1"/>
  </w:style>
  <w:style w:type="paragraph" w:customStyle="1" w:styleId="Heading3mod">
    <w:name w:val="Heading 3 (mod)"/>
    <w:basedOn w:val="Heading3"/>
    <w:next w:val="Normal"/>
    <w:link w:val="Heading3modChar"/>
    <w:qFormat/>
    <w:rsid w:val="00A364E1"/>
    <w:pPr>
      <w:keepNext/>
      <w:keepLines/>
      <w:spacing w:line="264" w:lineRule="atLeast"/>
      <w:ind w:left="720" w:hanging="720"/>
      <w:jc w:val="both"/>
    </w:pPr>
    <w:rPr>
      <w:rFonts w:asciiTheme="majorHAnsi" w:eastAsiaTheme="majorEastAsia" w:hAnsiTheme="majorHAnsi" w:cstheme="majorBidi"/>
      <w:bCs/>
      <w:color w:val="000000" w:themeColor="text1"/>
      <w:sz w:val="24"/>
      <w:lang w:val="en-GB"/>
    </w:rPr>
  </w:style>
  <w:style w:type="character" w:customStyle="1" w:styleId="Heading3modChar">
    <w:name w:val="Heading 3 (mod) Char"/>
    <w:basedOn w:val="Heading3Char"/>
    <w:link w:val="Heading3mod"/>
    <w:rsid w:val="00A364E1"/>
    <w:rPr>
      <w:rFonts w:asciiTheme="majorHAnsi" w:eastAsiaTheme="majorEastAsia" w:hAnsiTheme="majorHAnsi" w:cstheme="majorBidi"/>
      <w:bCs/>
      <w:color w:val="000000" w:themeColor="text1"/>
      <w:sz w:val="24"/>
      <w:szCs w:val="20"/>
      <w:lang w:val="en-GB"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662">
      <w:bodyDiv w:val="1"/>
      <w:marLeft w:val="0"/>
      <w:marRight w:val="0"/>
      <w:marTop w:val="0"/>
      <w:marBottom w:val="0"/>
      <w:divBdr>
        <w:top w:val="none" w:sz="0" w:space="0" w:color="auto"/>
        <w:left w:val="none" w:sz="0" w:space="0" w:color="auto"/>
        <w:bottom w:val="none" w:sz="0" w:space="0" w:color="auto"/>
        <w:right w:val="none" w:sz="0" w:space="0" w:color="auto"/>
      </w:divBdr>
    </w:div>
    <w:div w:id="250310243">
      <w:bodyDiv w:val="1"/>
      <w:marLeft w:val="0"/>
      <w:marRight w:val="0"/>
      <w:marTop w:val="0"/>
      <w:marBottom w:val="0"/>
      <w:divBdr>
        <w:top w:val="none" w:sz="0" w:space="0" w:color="auto"/>
        <w:left w:val="none" w:sz="0" w:space="0" w:color="auto"/>
        <w:bottom w:val="none" w:sz="0" w:space="0" w:color="auto"/>
        <w:right w:val="none" w:sz="0" w:space="0" w:color="auto"/>
      </w:divBdr>
    </w:div>
    <w:div w:id="709720978">
      <w:bodyDiv w:val="1"/>
      <w:marLeft w:val="0"/>
      <w:marRight w:val="0"/>
      <w:marTop w:val="0"/>
      <w:marBottom w:val="0"/>
      <w:divBdr>
        <w:top w:val="none" w:sz="0" w:space="0" w:color="auto"/>
        <w:left w:val="none" w:sz="0" w:space="0" w:color="auto"/>
        <w:bottom w:val="none" w:sz="0" w:space="0" w:color="auto"/>
        <w:right w:val="none" w:sz="0" w:space="0" w:color="auto"/>
      </w:divBdr>
    </w:div>
    <w:div w:id="860435765">
      <w:bodyDiv w:val="1"/>
      <w:marLeft w:val="0"/>
      <w:marRight w:val="0"/>
      <w:marTop w:val="0"/>
      <w:marBottom w:val="0"/>
      <w:divBdr>
        <w:top w:val="none" w:sz="0" w:space="0" w:color="auto"/>
        <w:left w:val="none" w:sz="0" w:space="0" w:color="auto"/>
        <w:bottom w:val="none" w:sz="0" w:space="0" w:color="auto"/>
        <w:right w:val="none" w:sz="0" w:space="0" w:color="auto"/>
      </w:divBdr>
    </w:div>
    <w:div w:id="928544669">
      <w:bodyDiv w:val="1"/>
      <w:marLeft w:val="0"/>
      <w:marRight w:val="0"/>
      <w:marTop w:val="0"/>
      <w:marBottom w:val="0"/>
      <w:divBdr>
        <w:top w:val="none" w:sz="0" w:space="0" w:color="auto"/>
        <w:left w:val="none" w:sz="0" w:space="0" w:color="auto"/>
        <w:bottom w:val="none" w:sz="0" w:space="0" w:color="auto"/>
        <w:right w:val="none" w:sz="0" w:space="0" w:color="auto"/>
      </w:divBdr>
    </w:div>
    <w:div w:id="959603593">
      <w:bodyDiv w:val="1"/>
      <w:marLeft w:val="0"/>
      <w:marRight w:val="0"/>
      <w:marTop w:val="0"/>
      <w:marBottom w:val="0"/>
      <w:divBdr>
        <w:top w:val="none" w:sz="0" w:space="0" w:color="auto"/>
        <w:left w:val="none" w:sz="0" w:space="0" w:color="auto"/>
        <w:bottom w:val="none" w:sz="0" w:space="0" w:color="auto"/>
        <w:right w:val="none" w:sz="0" w:space="0" w:color="auto"/>
      </w:divBdr>
    </w:div>
    <w:div w:id="127448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ivacy@post.l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E55ECE52B414395682C72AC74C606"/>
        <w:category>
          <w:name w:val="General"/>
          <w:gallery w:val="placeholder"/>
        </w:category>
        <w:types>
          <w:type w:val="bbPlcHdr"/>
        </w:types>
        <w:behaviors>
          <w:behavior w:val="content"/>
        </w:behaviors>
        <w:guid w:val="{D62B396F-D854-4BEA-9FE2-08183B0EDA08}"/>
      </w:docPartPr>
      <w:docPartBody>
        <w:p w:rsidR="00B37617" w:rsidRDefault="008C7236" w:rsidP="008C7236">
          <w:pPr>
            <w:pStyle w:val="5A1E55ECE52B414395682C72AC74C606"/>
          </w:pPr>
          <w:r w:rsidRPr="00557307">
            <w:rPr>
              <w:rStyle w:val="PlaceholderText"/>
            </w:rPr>
            <w:t>[Version Q&amp;F]</w:t>
          </w:r>
        </w:p>
      </w:docPartBody>
    </w:docPart>
    <w:docPart>
      <w:docPartPr>
        <w:name w:val="56E3CA8558F04C19957E12E59FFCBFDA"/>
        <w:category>
          <w:name w:val="General"/>
          <w:gallery w:val="placeholder"/>
        </w:category>
        <w:types>
          <w:type w:val="bbPlcHdr"/>
        </w:types>
        <w:behaviors>
          <w:behavior w:val="content"/>
        </w:behaviors>
        <w:guid w:val="{6B0D0762-5E5E-4B2A-BB02-33E5138401BD}"/>
      </w:docPartPr>
      <w:docPartBody>
        <w:p w:rsidR="00B37617" w:rsidRDefault="008C7236">
          <w:r w:rsidRPr="00557307">
            <w:rPr>
              <w:rStyle w:val="PlaceholderText"/>
            </w:rPr>
            <w:t>[Référence]</w:t>
          </w:r>
        </w:p>
      </w:docPartBody>
    </w:docPart>
    <w:docPart>
      <w:docPartPr>
        <w:name w:val="76C98FAA626D4E47B727331A46FE92A8"/>
        <w:category>
          <w:name w:val="General"/>
          <w:gallery w:val="placeholder"/>
        </w:category>
        <w:types>
          <w:type w:val="bbPlcHdr"/>
        </w:types>
        <w:behaviors>
          <w:behavior w:val="content"/>
        </w:behaviors>
        <w:guid w:val="{640785F6-F2A2-4ABE-947C-0682244FB8C1}"/>
      </w:docPartPr>
      <w:docPartBody>
        <w:p w:rsidR="00B37617" w:rsidRDefault="008C7236">
          <w:r w:rsidRPr="00557307">
            <w:rPr>
              <w:rStyle w:val="PlaceholderText"/>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36"/>
    <w:rsid w:val="000620F6"/>
    <w:rsid w:val="000B3912"/>
    <w:rsid w:val="001707D1"/>
    <w:rsid w:val="00360A8D"/>
    <w:rsid w:val="003A1199"/>
    <w:rsid w:val="00496B09"/>
    <w:rsid w:val="004C4BD6"/>
    <w:rsid w:val="0057339B"/>
    <w:rsid w:val="00617562"/>
    <w:rsid w:val="00624278"/>
    <w:rsid w:val="008C7236"/>
    <w:rsid w:val="008E3D11"/>
    <w:rsid w:val="009B0CC4"/>
    <w:rsid w:val="00AA7A08"/>
    <w:rsid w:val="00AC23BE"/>
    <w:rsid w:val="00B37617"/>
    <w:rsid w:val="00CF5817"/>
    <w:rsid w:val="00D027A7"/>
    <w:rsid w:val="00D8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3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817"/>
    <w:rPr>
      <w:color w:val="808080"/>
    </w:rPr>
  </w:style>
  <w:style w:type="paragraph" w:customStyle="1" w:styleId="5A1E55ECE52B414395682C72AC74C606">
    <w:name w:val="5A1E55ECE52B414395682C72AC74C606"/>
    <w:rsid w:val="008C7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0C1B69469EFD84885757EB70C0DF604" ma:contentTypeVersion="6" ma:contentTypeDescription="Create a new document." ma:contentTypeScope="" ma:versionID="f7bfd56c7d71b88b97e9ee91b8d6a5c5">
  <xsd:schema xmlns:xsd="http://www.w3.org/2001/XMLSchema" xmlns:xs="http://www.w3.org/2001/XMLSchema" xmlns:p="http://schemas.microsoft.com/office/2006/metadata/properties" xmlns:ns2="ccbcc87b-99db-4fbb-8bb8-3b6abce16da4" xmlns:ns3="8e35bb0a-d5e1-46f2-a11a-7d982e594e8f" targetNamespace="http://schemas.microsoft.com/office/2006/metadata/properties" ma:root="true" ma:fieldsID="c7c9a9c5a1130b627eb6e5b45d0a57ae" ns2:_="" ns3:_="">
    <xsd:import namespace="ccbcc87b-99db-4fbb-8bb8-3b6abce16da4"/>
    <xsd:import namespace="8e35bb0a-d5e1-46f2-a11a-7d982e594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c87b-99db-4fbb-8bb8-3b6abce1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5bb0a-d5e1-46f2-a11a-7d982e594e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C6D8-7743-4D83-8229-5D95007C8D6B}">
  <ds:schemaRefs>
    <ds:schemaRef ds:uri="http://schemas.microsoft.com/office/2006/customDocumentInformationPanel"/>
  </ds:schemaRefs>
</ds:datastoreItem>
</file>

<file path=customXml/itemProps2.xml><?xml version="1.0" encoding="utf-8"?>
<ds:datastoreItem xmlns:ds="http://schemas.openxmlformats.org/officeDocument/2006/customXml" ds:itemID="{C4881E10-D56B-4E24-AD82-41DAFF73B984}">
  <ds:schemaRefs>
    <ds:schemaRef ds:uri="http://schemas.openxmlformats.org/officeDocument/2006/bibliography"/>
  </ds:schemaRefs>
</ds:datastoreItem>
</file>

<file path=customXml/itemProps3.xml><?xml version="1.0" encoding="utf-8"?>
<ds:datastoreItem xmlns:ds="http://schemas.openxmlformats.org/officeDocument/2006/customXml" ds:itemID="{E19543E0-ED38-468E-BB2A-0D1A10AAD222}">
  <ds:schemaRefs>
    <ds:schemaRef ds:uri="http://schemas.openxmlformats.org/officeDocument/2006/bibliography"/>
  </ds:schemaRefs>
</ds:datastoreItem>
</file>

<file path=customXml/itemProps4.xml><?xml version="1.0" encoding="utf-8"?>
<ds:datastoreItem xmlns:ds="http://schemas.openxmlformats.org/officeDocument/2006/customXml" ds:itemID="{89FF3403-9565-4F98-A4A1-9ECF2F6580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8A3E45-6EDE-4BFB-A99F-41DDAE4622A7}">
  <ds:schemaRefs>
    <ds:schemaRef ds:uri="http://schemas.microsoft.com/sharepoint/v3/contenttype/forms"/>
  </ds:schemaRefs>
</ds:datastoreItem>
</file>

<file path=customXml/itemProps6.xml><?xml version="1.0" encoding="utf-8"?>
<ds:datastoreItem xmlns:ds="http://schemas.openxmlformats.org/officeDocument/2006/customXml" ds:itemID="{FE5D4919-0D5A-4644-8601-1CB8074C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c87b-99db-4fbb-8bb8-3b6abce16da4"/>
    <ds:schemaRef ds:uri="8e35bb0a-d5e1-46f2-a11a-7d982e59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14454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Template_Service Description_EN</vt:lpstr>
    </vt:vector>
  </TitlesOfParts>
  <Company>Post Luxembourg</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Template_Service Description_EN</dc:title>
  <dc:creator>Catherine Robert</dc:creator>
  <cp:keywords/>
  <cp:lastModifiedBy>Abigail Chaudier</cp:lastModifiedBy>
  <cp:revision>2</cp:revision>
  <cp:lastPrinted>2017-12-21T09:58:00Z</cp:lastPrinted>
  <dcterms:created xsi:type="dcterms:W3CDTF">2024-04-26T13:25:00Z</dcterms:created>
  <dcterms:modified xsi:type="dcterms:W3CDTF">2024-04-26T13:25:00Z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2017-12-08T00:00:00Z</vt:filetime>
  </property>
  <property fmtid="{D5CDD505-2E9C-101B-9397-08002B2CF9AE}" pid="4" name="ContentTypeId">
    <vt:lpwstr>0x010100F0C1B69469EFD84885757EB70C0DF604</vt:lpwstr>
  </property>
  <property fmtid="{D5CDD505-2E9C-101B-9397-08002B2CF9AE}" pid="5" name="TaxKeyword">
    <vt:lpwstr/>
  </property>
  <property fmtid="{D5CDD505-2E9C-101B-9397-08002B2CF9AE}" pid="6" name="PTSLSA_CustomerTypeTaxHTField">
    <vt:lpwstr/>
  </property>
  <property fmtid="{D5CDD505-2E9C-101B-9397-08002B2CF9AE}" pid="7" name="PTSLSA_Domains">
    <vt:lpwstr>3;#Product Management ＆ Marketing|5171aa6e-b520-4d36-85ae-b9c49432dbc3</vt:lpwstr>
  </property>
  <property fmtid="{D5CDD505-2E9C-101B-9397-08002B2CF9AE}" pid="8" name="PTSLSA_FolderTypeTaxHTField">
    <vt:lpwstr/>
  </property>
  <property fmtid="{D5CDD505-2E9C-101B-9397-08002B2CF9AE}" pid="9" name="PTSLSA_CustomerType">
    <vt:lpwstr/>
  </property>
  <property fmtid="{D5CDD505-2E9C-101B-9397-08002B2CF9AE}" pid="10" name="PTSLSA_FolderType">
    <vt:lpwstr/>
  </property>
  <property fmtid="{D5CDD505-2E9C-101B-9397-08002B2CF9AE}" pid="11" name="PTSLSA_Version">
    <vt:lpwstr>1</vt:lpwstr>
  </property>
  <property fmtid="{D5CDD505-2E9C-101B-9397-08002B2CF9AE}" pid="12" name="PTSLSA_Produit">
    <vt:lpwstr/>
  </property>
  <property fmtid="{D5CDD505-2E9C-101B-9397-08002B2CF9AE}" pid="13" name="PTSLSA_ProduitTaxHTField">
    <vt:lpwstr/>
  </property>
  <property fmtid="{D5CDD505-2E9C-101B-9397-08002B2CF9AE}" pid="14" name="PTSLSA_UnusualDocumentType">
    <vt:lpwstr/>
  </property>
  <property fmtid="{D5CDD505-2E9C-101B-9397-08002B2CF9AE}" pid="15" name="PTSLSA_LinkedToContentType">
    <vt:lpwstr/>
  </property>
  <property fmtid="{D5CDD505-2E9C-101B-9397-08002B2CF9AE}" pid="16" name="PTSLSA_PDFType">
    <vt:lpwstr/>
  </property>
  <property fmtid="{D5CDD505-2E9C-101B-9397-08002B2CF9AE}" pid="17" name="URL">
    <vt:lpwstr/>
  </property>
  <property fmtid="{D5CDD505-2E9C-101B-9397-08002B2CF9AE}" pid="18" name="MSIP_Label_b1bd74b0-ef9f-44c3-bb7a-8ab692560687_Enabled">
    <vt:lpwstr>true</vt:lpwstr>
  </property>
  <property fmtid="{D5CDD505-2E9C-101B-9397-08002B2CF9AE}" pid="19" name="MSIP_Label_b1bd74b0-ef9f-44c3-bb7a-8ab692560687_SetDate">
    <vt:lpwstr>2023-04-24T08:05:08Z</vt:lpwstr>
  </property>
  <property fmtid="{D5CDD505-2E9C-101B-9397-08002B2CF9AE}" pid="20" name="MSIP_Label_b1bd74b0-ef9f-44c3-bb7a-8ab692560687_Method">
    <vt:lpwstr>Privileged</vt:lpwstr>
  </property>
  <property fmtid="{D5CDD505-2E9C-101B-9397-08002B2CF9AE}" pid="21" name="MSIP_Label_b1bd74b0-ef9f-44c3-bb7a-8ab692560687_Name">
    <vt:lpwstr>C1 - Document public</vt:lpwstr>
  </property>
  <property fmtid="{D5CDD505-2E9C-101B-9397-08002B2CF9AE}" pid="22" name="MSIP_Label_b1bd74b0-ef9f-44c3-bb7a-8ab692560687_SiteId">
    <vt:lpwstr>090a1bf9-58cc-49fa-8a9e-3f7b0a100fa9</vt:lpwstr>
  </property>
  <property fmtid="{D5CDD505-2E9C-101B-9397-08002B2CF9AE}" pid="23" name="MSIP_Label_b1bd74b0-ef9f-44c3-bb7a-8ab692560687_ActionId">
    <vt:lpwstr>9570d751-467c-4c7d-9872-f2035ef8efcd</vt:lpwstr>
  </property>
  <property fmtid="{D5CDD505-2E9C-101B-9397-08002B2CF9AE}" pid="24" name="MSIP_Label_b1bd74b0-ef9f-44c3-bb7a-8ab692560687_ContentBits">
    <vt:lpwstr>0</vt:lpwstr>
  </property>
  <property fmtid="{D5CDD505-2E9C-101B-9397-08002B2CF9AE}" pid="25" name="Order">
    <vt:r8>770000</vt:r8>
  </property>
  <property fmtid="{D5CDD505-2E9C-101B-9397-08002B2CF9AE}" pid="26" name="xd_ProgID">
    <vt:lpwstr/>
  </property>
  <property fmtid="{D5CDD505-2E9C-101B-9397-08002B2CF9AE}" pid="27" name="MediaServiceImageTags">
    <vt:lpwstr/>
  </property>
  <property fmtid="{D5CDD505-2E9C-101B-9397-08002B2CF9AE}" pid="28" name="TemplateUrl">
    <vt:lpwstr/>
  </property>
</Properties>
</file>